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92" w:rsidRDefault="008B5492" w:rsidP="008B5492">
      <w:pPr>
        <w:jc w:val="center"/>
        <w:rPr>
          <w:rFonts w:cs="Arial"/>
          <w:i/>
          <w:sz w:val="20"/>
          <w:szCs w:val="20"/>
        </w:rPr>
      </w:pPr>
      <w:r w:rsidRPr="004A7ED8">
        <w:rPr>
          <w:rFonts w:cs="Arial"/>
          <w:bCs/>
          <w:sz w:val="28"/>
          <w:szCs w:val="28"/>
        </w:rPr>
        <w:t>Schulinterner Lehrplan Mathematik –</w:t>
      </w:r>
      <w:r w:rsidRPr="004A7ED8">
        <w:rPr>
          <w:rFonts w:cs="Arial"/>
          <w:bCs/>
          <w:sz w:val="40"/>
          <w:szCs w:val="40"/>
        </w:rPr>
        <w:t xml:space="preserve"> </w:t>
      </w:r>
      <w:r>
        <w:rPr>
          <w:rFonts w:cs="Arial"/>
          <w:bCs/>
          <w:sz w:val="40"/>
          <w:szCs w:val="40"/>
        </w:rPr>
        <w:br/>
        <w:t>Kriterien der Leistungsbewertung</w:t>
      </w:r>
    </w:p>
    <w:p w:rsidR="00843B9F" w:rsidRDefault="008B5492" w:rsidP="00F01B23">
      <w:pPr>
        <w:autoSpaceDE w:val="0"/>
        <w:autoSpaceDN w:val="0"/>
        <w:adjustRightInd w:val="0"/>
        <w:spacing w:after="0" w:line="240" w:lineRule="auto"/>
        <w:jc w:val="both"/>
        <w:rPr>
          <w:rFonts w:ascii="Times New Roman" w:hAnsi="Times New Roman" w:cs="Times New Roman"/>
          <w:sz w:val="24"/>
          <w:szCs w:val="24"/>
        </w:rPr>
      </w:pPr>
      <w:r w:rsidRPr="004C2427">
        <w:rPr>
          <w:rFonts w:ascii="Times New Roman" w:hAnsi="Times New Roman" w:cs="Times New Roman"/>
          <w:sz w:val="24"/>
          <w:szCs w:val="24"/>
        </w:rPr>
        <w:t xml:space="preserve">Leistungsüberprüfung und </w:t>
      </w:r>
      <w:r w:rsidR="00F01B23" w:rsidRPr="004C2427">
        <w:rPr>
          <w:rFonts w:ascii="Times New Roman" w:hAnsi="Times New Roman" w:cs="Times New Roman"/>
          <w:sz w:val="24"/>
          <w:szCs w:val="24"/>
        </w:rPr>
        <w:t>-</w:t>
      </w:r>
      <w:r w:rsidRPr="004C2427">
        <w:rPr>
          <w:rFonts w:ascii="Times New Roman" w:hAnsi="Times New Roman" w:cs="Times New Roman"/>
          <w:sz w:val="24"/>
          <w:szCs w:val="24"/>
        </w:rPr>
        <w:t>beurteilung hat im schulischen Kontext die Aufgabe, Aufschlüsse über den Lernstand der Lernenden in Bezug</w:t>
      </w:r>
      <w:r w:rsidR="00F01B23" w:rsidRPr="004C2427">
        <w:rPr>
          <w:rFonts w:ascii="Times New Roman" w:hAnsi="Times New Roman" w:cs="Times New Roman"/>
          <w:sz w:val="24"/>
          <w:szCs w:val="24"/>
        </w:rPr>
        <w:t xml:space="preserve"> </w:t>
      </w:r>
      <w:r w:rsidRPr="004C2427">
        <w:rPr>
          <w:rFonts w:ascii="Times New Roman" w:hAnsi="Times New Roman" w:cs="Times New Roman"/>
          <w:sz w:val="24"/>
          <w:szCs w:val="24"/>
        </w:rPr>
        <w:t>auf die in den Lehrplänen festgelegten zu erre</w:t>
      </w:r>
      <w:r w:rsidRPr="004C2427">
        <w:rPr>
          <w:rFonts w:ascii="Times New Roman" w:hAnsi="Times New Roman" w:cs="Times New Roman"/>
          <w:sz w:val="24"/>
          <w:szCs w:val="24"/>
        </w:rPr>
        <w:t>i</w:t>
      </w:r>
      <w:r w:rsidRPr="004C2427">
        <w:rPr>
          <w:rFonts w:ascii="Times New Roman" w:hAnsi="Times New Roman" w:cs="Times New Roman"/>
          <w:sz w:val="24"/>
          <w:szCs w:val="24"/>
        </w:rPr>
        <w:t>chenden Kompetenzen zu geben. Die Leistungsbewertung hat sich folglich auf die im</w:t>
      </w:r>
      <w:r w:rsidR="00F01B23" w:rsidRPr="004C2427">
        <w:rPr>
          <w:rFonts w:ascii="Times New Roman" w:hAnsi="Times New Roman" w:cs="Times New Roman"/>
          <w:sz w:val="24"/>
          <w:szCs w:val="24"/>
        </w:rPr>
        <w:t xml:space="preserve"> </w:t>
      </w:r>
      <w:r w:rsidRPr="004C2427">
        <w:rPr>
          <w:rFonts w:ascii="Times New Roman" w:hAnsi="Times New Roman" w:cs="Times New Roman"/>
          <w:sz w:val="24"/>
          <w:szCs w:val="24"/>
        </w:rPr>
        <w:t>Unte</w:t>
      </w:r>
      <w:r w:rsidRPr="004C2427">
        <w:rPr>
          <w:rFonts w:ascii="Times New Roman" w:hAnsi="Times New Roman" w:cs="Times New Roman"/>
          <w:sz w:val="24"/>
          <w:szCs w:val="24"/>
        </w:rPr>
        <w:t>r</w:t>
      </w:r>
      <w:r w:rsidRPr="004C2427">
        <w:rPr>
          <w:rFonts w:ascii="Times New Roman" w:hAnsi="Times New Roman" w:cs="Times New Roman"/>
          <w:sz w:val="24"/>
          <w:szCs w:val="24"/>
        </w:rPr>
        <w:t>richt vermittelten Kenntnisse, Fähigkeiten und Fertigkeiten sowohl in in</w:t>
      </w:r>
      <w:r w:rsidR="000667F8">
        <w:rPr>
          <w:rFonts w:ascii="Times New Roman" w:hAnsi="Times New Roman" w:cs="Times New Roman"/>
          <w:sz w:val="24"/>
          <w:szCs w:val="24"/>
        </w:rPr>
        <w:t>haltlicher als auch in prozessu</w:t>
      </w:r>
      <w:r w:rsidRPr="004C2427">
        <w:rPr>
          <w:rFonts w:ascii="Times New Roman" w:hAnsi="Times New Roman" w:cs="Times New Roman"/>
          <w:sz w:val="24"/>
          <w:szCs w:val="24"/>
        </w:rPr>
        <w:t>aler Hinsicht zu beziehen.</w:t>
      </w:r>
      <w:r w:rsidR="00F01B23" w:rsidRPr="004C2427">
        <w:rPr>
          <w:rFonts w:ascii="Times New Roman" w:hAnsi="Times New Roman" w:cs="Times New Roman"/>
          <w:sz w:val="24"/>
          <w:szCs w:val="24"/>
        </w:rPr>
        <w:t xml:space="preserve"> </w:t>
      </w:r>
    </w:p>
    <w:p w:rsidR="00843B9F" w:rsidRDefault="00843B9F" w:rsidP="00F01B23">
      <w:pPr>
        <w:autoSpaceDE w:val="0"/>
        <w:autoSpaceDN w:val="0"/>
        <w:adjustRightInd w:val="0"/>
        <w:spacing w:after="0" w:line="240" w:lineRule="auto"/>
        <w:jc w:val="both"/>
        <w:rPr>
          <w:rFonts w:ascii="Times New Roman" w:hAnsi="Times New Roman" w:cs="Times New Roman"/>
          <w:sz w:val="24"/>
          <w:szCs w:val="24"/>
        </w:rPr>
      </w:pPr>
    </w:p>
    <w:p w:rsidR="008B5492" w:rsidRPr="004C2427" w:rsidRDefault="008B5492" w:rsidP="00F01B23">
      <w:pPr>
        <w:autoSpaceDE w:val="0"/>
        <w:autoSpaceDN w:val="0"/>
        <w:adjustRightInd w:val="0"/>
        <w:spacing w:after="0" w:line="240" w:lineRule="auto"/>
        <w:jc w:val="both"/>
        <w:rPr>
          <w:rFonts w:ascii="Times New Roman" w:hAnsi="Times New Roman" w:cs="Times New Roman"/>
          <w:sz w:val="24"/>
          <w:szCs w:val="24"/>
        </w:rPr>
      </w:pPr>
      <w:r w:rsidRPr="004C2427">
        <w:rPr>
          <w:rFonts w:ascii="Times New Roman" w:hAnsi="Times New Roman" w:cs="Times New Roman"/>
          <w:sz w:val="24"/>
          <w:szCs w:val="24"/>
        </w:rPr>
        <w:t>Grundlage der Leistungsbeurteilung sind alle von den Schülerinnen und Schülern im Beurte</w:t>
      </w:r>
      <w:r w:rsidRPr="004C2427">
        <w:rPr>
          <w:rFonts w:ascii="Times New Roman" w:hAnsi="Times New Roman" w:cs="Times New Roman"/>
          <w:sz w:val="24"/>
          <w:szCs w:val="24"/>
        </w:rPr>
        <w:t>i</w:t>
      </w:r>
      <w:r w:rsidRPr="004C2427">
        <w:rPr>
          <w:rFonts w:ascii="Times New Roman" w:hAnsi="Times New Roman" w:cs="Times New Roman"/>
          <w:sz w:val="24"/>
          <w:szCs w:val="24"/>
        </w:rPr>
        <w:t>lungsbereich „schriftliche Arbeiten“ und</w:t>
      </w:r>
      <w:r w:rsidR="00F01B23" w:rsidRPr="004C2427">
        <w:rPr>
          <w:rFonts w:ascii="Times New Roman" w:hAnsi="Times New Roman" w:cs="Times New Roman"/>
          <w:sz w:val="24"/>
          <w:szCs w:val="24"/>
        </w:rPr>
        <w:t xml:space="preserve"> </w:t>
      </w:r>
      <w:r w:rsidRPr="004C2427">
        <w:rPr>
          <w:rFonts w:ascii="Times New Roman" w:hAnsi="Times New Roman" w:cs="Times New Roman"/>
          <w:sz w:val="24"/>
          <w:szCs w:val="24"/>
        </w:rPr>
        <w:t>„sonstige Mitarbeit“ erbrachten Leistungen. Es g</w:t>
      </w:r>
      <w:r w:rsidRPr="004C2427">
        <w:rPr>
          <w:rFonts w:ascii="Times New Roman" w:hAnsi="Times New Roman" w:cs="Times New Roman"/>
          <w:sz w:val="24"/>
          <w:szCs w:val="24"/>
        </w:rPr>
        <w:t>e</w:t>
      </w:r>
      <w:r w:rsidRPr="004C2427">
        <w:rPr>
          <w:rFonts w:ascii="Times New Roman" w:hAnsi="Times New Roman" w:cs="Times New Roman"/>
          <w:sz w:val="24"/>
          <w:szCs w:val="24"/>
        </w:rPr>
        <w:t>lten die allgemeinen Vorgaben des Schulgesetzes, sowie der Ausbildungs- und Prüfungsor</w:t>
      </w:r>
      <w:r w:rsidRPr="004C2427">
        <w:rPr>
          <w:rFonts w:ascii="Times New Roman" w:hAnsi="Times New Roman" w:cs="Times New Roman"/>
          <w:sz w:val="24"/>
          <w:szCs w:val="24"/>
        </w:rPr>
        <w:t>d</w:t>
      </w:r>
      <w:r w:rsidRPr="004C2427">
        <w:rPr>
          <w:rFonts w:ascii="Times New Roman" w:hAnsi="Times New Roman" w:cs="Times New Roman"/>
          <w:sz w:val="24"/>
          <w:szCs w:val="24"/>
        </w:rPr>
        <w:t>nungen</w:t>
      </w:r>
      <w:r w:rsidR="00F01B23" w:rsidRPr="004C2427">
        <w:rPr>
          <w:rFonts w:ascii="Times New Roman" w:hAnsi="Times New Roman" w:cs="Times New Roman"/>
          <w:sz w:val="24"/>
          <w:szCs w:val="24"/>
        </w:rPr>
        <w:t xml:space="preserve"> </w:t>
      </w:r>
      <w:r w:rsidRPr="004C2427">
        <w:rPr>
          <w:rFonts w:ascii="Times New Roman" w:hAnsi="Times New Roman" w:cs="Times New Roman"/>
          <w:sz w:val="24"/>
          <w:szCs w:val="24"/>
        </w:rPr>
        <w:t>und der Lehrpläne für die Sekundarstufe I sowie die gymnasiale Oberstufe. Darüber hinaus hat die Fachkonferenz</w:t>
      </w:r>
      <w:r w:rsidR="00F01B23" w:rsidRPr="004C2427">
        <w:rPr>
          <w:rFonts w:ascii="Times New Roman" w:hAnsi="Times New Roman" w:cs="Times New Roman"/>
          <w:sz w:val="24"/>
          <w:szCs w:val="24"/>
        </w:rPr>
        <w:t xml:space="preserve"> </w:t>
      </w:r>
      <w:r w:rsidRPr="004C2427">
        <w:rPr>
          <w:rFonts w:ascii="Times New Roman" w:hAnsi="Times New Roman" w:cs="Times New Roman"/>
          <w:sz w:val="24"/>
          <w:szCs w:val="24"/>
        </w:rPr>
        <w:t xml:space="preserve">Mathematik </w:t>
      </w:r>
      <w:r w:rsidR="00F01B23" w:rsidRPr="004C2427">
        <w:rPr>
          <w:rFonts w:ascii="Times New Roman" w:hAnsi="Times New Roman" w:cs="Times New Roman"/>
          <w:sz w:val="24"/>
          <w:szCs w:val="24"/>
        </w:rPr>
        <w:t xml:space="preserve">am Reinoldus- und Schiller-Gymnasium Dortmund </w:t>
      </w:r>
      <w:r w:rsidRPr="004C2427">
        <w:rPr>
          <w:rFonts w:ascii="Times New Roman" w:hAnsi="Times New Roman" w:cs="Times New Roman"/>
          <w:sz w:val="24"/>
          <w:szCs w:val="24"/>
        </w:rPr>
        <w:t>die folgen</w:t>
      </w:r>
      <w:r w:rsidR="00F01B23" w:rsidRPr="004C2427">
        <w:rPr>
          <w:rFonts w:ascii="Times New Roman" w:hAnsi="Times New Roman" w:cs="Times New Roman"/>
          <w:sz w:val="24"/>
          <w:szCs w:val="24"/>
        </w:rPr>
        <w:t xml:space="preserve">den Konkretisierungen </w:t>
      </w:r>
      <w:r w:rsidRPr="004C2427">
        <w:rPr>
          <w:rFonts w:ascii="Times New Roman" w:hAnsi="Times New Roman" w:cs="Times New Roman"/>
          <w:sz w:val="24"/>
          <w:szCs w:val="24"/>
        </w:rPr>
        <w:t>beschlossen.</w:t>
      </w:r>
      <w:r w:rsidR="00F01B23" w:rsidRPr="004C2427">
        <w:rPr>
          <w:rFonts w:ascii="Times New Roman" w:hAnsi="Times New Roman" w:cs="Times New Roman"/>
          <w:sz w:val="24"/>
          <w:szCs w:val="24"/>
        </w:rPr>
        <w:t xml:space="preserve"> </w:t>
      </w:r>
      <w:r w:rsidRPr="004C2427">
        <w:rPr>
          <w:rFonts w:ascii="Times New Roman" w:hAnsi="Times New Roman" w:cs="Times New Roman"/>
          <w:sz w:val="24"/>
          <w:szCs w:val="24"/>
        </w:rPr>
        <w:t xml:space="preserve">Die </w:t>
      </w:r>
      <w:r w:rsidR="00F01B23" w:rsidRPr="004C2427">
        <w:rPr>
          <w:rFonts w:ascii="Times New Roman" w:hAnsi="Times New Roman" w:cs="Times New Roman"/>
          <w:sz w:val="24"/>
          <w:szCs w:val="24"/>
        </w:rPr>
        <w:t>Kriterien</w:t>
      </w:r>
      <w:r w:rsidRPr="004C2427">
        <w:rPr>
          <w:rFonts w:ascii="Times New Roman" w:hAnsi="Times New Roman" w:cs="Times New Roman"/>
          <w:sz w:val="24"/>
          <w:szCs w:val="24"/>
        </w:rPr>
        <w:t xml:space="preserve"> der Leistungsbeurteilung sind den Schülerinnen und Schülern durch die jeweiligen Fachlehrer am Beginn eines jeden</w:t>
      </w:r>
      <w:r w:rsidR="00F01B23" w:rsidRPr="004C2427">
        <w:rPr>
          <w:rFonts w:ascii="Times New Roman" w:hAnsi="Times New Roman" w:cs="Times New Roman"/>
          <w:sz w:val="24"/>
          <w:szCs w:val="24"/>
        </w:rPr>
        <w:t xml:space="preserve"> </w:t>
      </w:r>
      <w:r w:rsidRPr="004C2427">
        <w:rPr>
          <w:rFonts w:ascii="Times New Roman" w:hAnsi="Times New Roman" w:cs="Times New Roman"/>
          <w:sz w:val="24"/>
          <w:szCs w:val="24"/>
        </w:rPr>
        <w:t>Schu</w:t>
      </w:r>
      <w:r w:rsidRPr="004C2427">
        <w:rPr>
          <w:rFonts w:ascii="Times New Roman" w:hAnsi="Times New Roman" w:cs="Times New Roman"/>
          <w:sz w:val="24"/>
          <w:szCs w:val="24"/>
        </w:rPr>
        <w:t>l</w:t>
      </w:r>
      <w:r w:rsidRPr="004C2427">
        <w:rPr>
          <w:rFonts w:ascii="Times New Roman" w:hAnsi="Times New Roman" w:cs="Times New Roman"/>
          <w:sz w:val="24"/>
          <w:szCs w:val="24"/>
        </w:rPr>
        <w:t>jahres (bzw. bei einem Lehrerwechsel) auch am Beginn eines Schulhalbjahres mitzuteilen.</w:t>
      </w:r>
    </w:p>
    <w:p w:rsidR="00F01B23" w:rsidRPr="00F01B23" w:rsidRDefault="00F01B23" w:rsidP="00F01B23">
      <w:pPr>
        <w:autoSpaceDE w:val="0"/>
        <w:autoSpaceDN w:val="0"/>
        <w:adjustRightInd w:val="0"/>
        <w:spacing w:after="0" w:line="240" w:lineRule="auto"/>
        <w:jc w:val="both"/>
        <w:rPr>
          <w:rFonts w:ascii="Times New Roman" w:hAnsi="Times New Roman" w:cs="Times New Roman"/>
        </w:rPr>
      </w:pPr>
    </w:p>
    <w:p w:rsidR="008B5492" w:rsidRDefault="008B5492" w:rsidP="008B5492">
      <w:pPr>
        <w:pStyle w:val="Listenabsatz"/>
        <w:numPr>
          <w:ilvl w:val="0"/>
          <w:numId w:val="8"/>
        </w:numPr>
        <w:autoSpaceDE w:val="0"/>
        <w:autoSpaceDN w:val="0"/>
        <w:adjustRightInd w:val="0"/>
        <w:spacing w:after="0" w:line="240" w:lineRule="auto"/>
        <w:ind w:left="540" w:hanging="180"/>
        <w:jc w:val="both"/>
        <w:rPr>
          <w:rFonts w:ascii="Times New Roman" w:hAnsi="Times New Roman" w:cs="Times New Roman"/>
          <w:sz w:val="24"/>
          <w:szCs w:val="24"/>
        </w:rPr>
      </w:pPr>
      <w:r w:rsidRPr="00F01B23">
        <w:rPr>
          <w:rFonts w:ascii="Times New Roman" w:hAnsi="Times New Roman" w:cs="Times New Roman"/>
          <w:b/>
          <w:bCs/>
          <w:sz w:val="24"/>
          <w:szCs w:val="24"/>
        </w:rPr>
        <w:t>Gewichtung von „schriftlichen Arbeiten“ und „sonstiger Mitarbeit“</w:t>
      </w:r>
      <w:r w:rsidR="00F01B23" w:rsidRPr="00F01B23">
        <w:rPr>
          <w:rFonts w:ascii="Times New Roman" w:hAnsi="Times New Roman" w:cs="Times New Roman"/>
          <w:b/>
          <w:bCs/>
          <w:sz w:val="24"/>
          <w:szCs w:val="24"/>
        </w:rPr>
        <w:tab/>
      </w:r>
      <w:r w:rsidR="00F01B23" w:rsidRPr="00F01B23">
        <w:rPr>
          <w:rFonts w:ascii="Times New Roman" w:hAnsi="Times New Roman" w:cs="Times New Roman"/>
          <w:b/>
          <w:bCs/>
          <w:sz w:val="24"/>
          <w:szCs w:val="24"/>
        </w:rPr>
        <w:br/>
      </w:r>
      <w:r w:rsidRPr="00F01B23">
        <w:rPr>
          <w:rFonts w:ascii="Times New Roman" w:hAnsi="Times New Roman" w:cs="Times New Roman"/>
          <w:sz w:val="24"/>
          <w:szCs w:val="24"/>
        </w:rPr>
        <w:t>In den beiden Beurteilungsbereichen „schriftliche Arbeiten und „sonstige Mitarbeit“ wird jeweils eine eigene Bereichsnote gebildet.</w:t>
      </w:r>
      <w:r w:rsidR="00F01B23" w:rsidRPr="00F01B23">
        <w:rPr>
          <w:rFonts w:ascii="Times New Roman" w:hAnsi="Times New Roman" w:cs="Times New Roman"/>
          <w:sz w:val="24"/>
          <w:szCs w:val="24"/>
        </w:rPr>
        <w:t xml:space="preserve"> </w:t>
      </w:r>
      <w:r w:rsidRPr="00F01B23">
        <w:rPr>
          <w:rFonts w:ascii="Times New Roman" w:hAnsi="Times New Roman" w:cs="Times New Roman"/>
          <w:sz w:val="24"/>
          <w:szCs w:val="24"/>
        </w:rPr>
        <w:t>Beide Bereichsnoten gehen gleich g</w:t>
      </w:r>
      <w:r w:rsidRPr="00F01B23">
        <w:rPr>
          <w:rFonts w:ascii="Times New Roman" w:hAnsi="Times New Roman" w:cs="Times New Roman"/>
          <w:sz w:val="24"/>
          <w:szCs w:val="24"/>
        </w:rPr>
        <w:t>e</w:t>
      </w:r>
      <w:r w:rsidRPr="00F01B23">
        <w:rPr>
          <w:rFonts w:ascii="Times New Roman" w:hAnsi="Times New Roman" w:cs="Times New Roman"/>
          <w:sz w:val="24"/>
          <w:szCs w:val="24"/>
        </w:rPr>
        <w:t xml:space="preserve">wichtet in die Gesamtnote ein. </w:t>
      </w:r>
      <w:r w:rsidR="00090659">
        <w:rPr>
          <w:rFonts w:ascii="Times New Roman" w:hAnsi="Times New Roman" w:cs="Times New Roman"/>
          <w:sz w:val="24"/>
          <w:szCs w:val="24"/>
        </w:rPr>
        <w:tab/>
      </w:r>
      <w:r w:rsidR="00090659">
        <w:rPr>
          <w:rFonts w:ascii="Times New Roman" w:hAnsi="Times New Roman" w:cs="Times New Roman"/>
          <w:sz w:val="24"/>
          <w:szCs w:val="24"/>
        </w:rPr>
        <w:br/>
      </w:r>
      <w:r w:rsidR="00090659">
        <w:rPr>
          <w:rFonts w:ascii="Times New Roman" w:hAnsi="Times New Roman" w:cs="Times New Roman"/>
          <w:sz w:val="24"/>
          <w:szCs w:val="24"/>
        </w:rPr>
        <w:br/>
      </w:r>
      <w:r w:rsidRPr="00F01B23">
        <w:rPr>
          <w:rFonts w:ascii="Times New Roman" w:hAnsi="Times New Roman" w:cs="Times New Roman"/>
          <w:sz w:val="24"/>
          <w:szCs w:val="24"/>
        </w:rPr>
        <w:t xml:space="preserve">Ergebnisse der zentralen Lernstandserhebung </w:t>
      </w:r>
      <w:r w:rsidR="00F01B23" w:rsidRPr="00F01B23">
        <w:rPr>
          <w:rFonts w:ascii="Times New Roman" w:hAnsi="Times New Roman" w:cs="Times New Roman"/>
          <w:sz w:val="24"/>
          <w:szCs w:val="24"/>
        </w:rPr>
        <w:t xml:space="preserve">LS8 </w:t>
      </w:r>
      <w:r w:rsidR="00090659">
        <w:rPr>
          <w:rFonts w:ascii="Times New Roman" w:hAnsi="Times New Roman" w:cs="Times New Roman"/>
          <w:sz w:val="24"/>
          <w:szCs w:val="24"/>
        </w:rPr>
        <w:t>werden nicht als Klassenarbeit g</w:t>
      </w:r>
      <w:r w:rsidR="00090659">
        <w:rPr>
          <w:rFonts w:ascii="Times New Roman" w:hAnsi="Times New Roman" w:cs="Times New Roman"/>
          <w:sz w:val="24"/>
          <w:szCs w:val="24"/>
        </w:rPr>
        <w:t>e</w:t>
      </w:r>
      <w:r w:rsidR="00090659">
        <w:rPr>
          <w:rFonts w:ascii="Times New Roman" w:hAnsi="Times New Roman" w:cs="Times New Roman"/>
          <w:sz w:val="24"/>
          <w:szCs w:val="24"/>
        </w:rPr>
        <w:t xml:space="preserve">wertet und nicht benotet, können jedoch </w:t>
      </w:r>
      <w:r w:rsidRPr="00F01B23">
        <w:rPr>
          <w:rFonts w:ascii="Times New Roman" w:hAnsi="Times New Roman" w:cs="Times New Roman"/>
          <w:sz w:val="24"/>
          <w:szCs w:val="24"/>
        </w:rPr>
        <w:t>entsprechend</w:t>
      </w:r>
      <w:r w:rsidR="00F01B23">
        <w:rPr>
          <w:rFonts w:ascii="Times New Roman" w:hAnsi="Times New Roman" w:cs="Times New Roman"/>
          <w:sz w:val="24"/>
          <w:szCs w:val="24"/>
        </w:rPr>
        <w:t xml:space="preserve"> </w:t>
      </w:r>
      <w:r w:rsidRPr="00F01B23">
        <w:rPr>
          <w:rFonts w:ascii="Times New Roman" w:hAnsi="Times New Roman" w:cs="Times New Roman"/>
          <w:sz w:val="24"/>
          <w:szCs w:val="24"/>
        </w:rPr>
        <w:t>de</w:t>
      </w:r>
      <w:r w:rsidR="00090659">
        <w:rPr>
          <w:rFonts w:ascii="Times New Roman" w:hAnsi="Times New Roman" w:cs="Times New Roman"/>
          <w:sz w:val="24"/>
          <w:szCs w:val="24"/>
        </w:rPr>
        <w:t>r</w:t>
      </w:r>
      <w:r w:rsidRPr="00F01B23">
        <w:rPr>
          <w:rFonts w:ascii="Times New Roman" w:hAnsi="Times New Roman" w:cs="Times New Roman"/>
          <w:sz w:val="24"/>
          <w:szCs w:val="24"/>
        </w:rPr>
        <w:t xml:space="preserve"> gesetzlichen Vorgaben</w:t>
      </w:r>
      <w:r w:rsidR="00090659">
        <w:rPr>
          <w:rFonts w:ascii="Times New Roman" w:hAnsi="Times New Roman" w:cs="Times New Roman"/>
          <w:sz w:val="24"/>
          <w:szCs w:val="24"/>
        </w:rPr>
        <w:t xml:space="preserve"> unter pädagogischen Aspekten Berücksichtigung finden.</w:t>
      </w:r>
    </w:p>
    <w:p w:rsidR="00F01B23" w:rsidRDefault="008B5492" w:rsidP="00F01B23">
      <w:pPr>
        <w:pStyle w:val="Listenabsatz"/>
        <w:numPr>
          <w:ilvl w:val="0"/>
          <w:numId w:val="8"/>
        </w:numPr>
        <w:autoSpaceDE w:val="0"/>
        <w:autoSpaceDN w:val="0"/>
        <w:adjustRightInd w:val="0"/>
        <w:spacing w:after="0" w:line="240" w:lineRule="auto"/>
        <w:ind w:left="540" w:hanging="180"/>
        <w:jc w:val="both"/>
        <w:rPr>
          <w:rFonts w:ascii="Times New Roman" w:hAnsi="Times New Roman" w:cs="Times New Roman"/>
          <w:sz w:val="24"/>
          <w:szCs w:val="24"/>
        </w:rPr>
      </w:pPr>
      <w:r w:rsidRPr="00F01B23">
        <w:rPr>
          <w:rFonts w:ascii="Times New Roman" w:hAnsi="Times New Roman" w:cs="Times New Roman"/>
          <w:b/>
          <w:bCs/>
          <w:sz w:val="24"/>
          <w:szCs w:val="24"/>
        </w:rPr>
        <w:t>Beurteilungsbereich „schriftliche Arbeiten“</w:t>
      </w:r>
      <w:r w:rsidR="00F01B23">
        <w:rPr>
          <w:rFonts w:ascii="Times New Roman" w:hAnsi="Times New Roman" w:cs="Times New Roman"/>
          <w:b/>
          <w:bCs/>
          <w:sz w:val="24"/>
          <w:szCs w:val="24"/>
        </w:rPr>
        <w:tab/>
      </w:r>
      <w:r w:rsidR="00F01B23">
        <w:rPr>
          <w:rFonts w:ascii="Times New Roman" w:hAnsi="Times New Roman" w:cs="Times New Roman"/>
          <w:b/>
          <w:bCs/>
          <w:sz w:val="24"/>
          <w:szCs w:val="24"/>
        </w:rPr>
        <w:br/>
      </w:r>
      <w:r w:rsidRPr="00F01B23">
        <w:rPr>
          <w:rFonts w:ascii="Times New Roman" w:hAnsi="Times New Roman" w:cs="Times New Roman"/>
          <w:sz w:val="24"/>
          <w:szCs w:val="24"/>
        </w:rPr>
        <w:t>In der Sekundarstufe I werden in folgendem Umfang schriftliche Arbeiten durchgeführt:</w:t>
      </w:r>
      <w:r w:rsidR="00F01B23">
        <w:rPr>
          <w:rFonts w:ascii="Times New Roman" w:hAnsi="Times New Roman" w:cs="Times New Roman"/>
          <w:sz w:val="24"/>
          <w:szCs w:val="24"/>
        </w:rPr>
        <w:br/>
      </w:r>
    </w:p>
    <w:tbl>
      <w:tblPr>
        <w:tblStyle w:val="Tabellengitternetz"/>
        <w:tblW w:w="0" w:type="auto"/>
        <w:tblInd w:w="1084" w:type="dxa"/>
        <w:tblLook w:val="04A0"/>
      </w:tblPr>
      <w:tblGrid>
        <w:gridCol w:w="1544"/>
        <w:gridCol w:w="3240"/>
        <w:gridCol w:w="2700"/>
      </w:tblGrid>
      <w:tr w:rsidR="00F01B23" w:rsidRPr="00C35FAD" w:rsidTr="00C35FAD">
        <w:tc>
          <w:tcPr>
            <w:tcW w:w="1544" w:type="dxa"/>
          </w:tcPr>
          <w:p w:rsidR="00F01B23" w:rsidRPr="00C35FAD" w:rsidRDefault="00F01B23" w:rsidP="00F01B23">
            <w:pPr>
              <w:autoSpaceDE w:val="0"/>
              <w:autoSpaceDN w:val="0"/>
              <w:adjustRightInd w:val="0"/>
              <w:jc w:val="both"/>
              <w:rPr>
                <w:rFonts w:ascii="Times New Roman" w:hAnsi="Times New Roman" w:cs="Times New Roman"/>
                <w:sz w:val="20"/>
                <w:szCs w:val="20"/>
              </w:rPr>
            </w:pPr>
            <w:r w:rsidRPr="00C35FAD">
              <w:rPr>
                <w:rFonts w:ascii="Times New Roman" w:hAnsi="Times New Roman" w:cs="Times New Roman"/>
                <w:sz w:val="20"/>
                <w:szCs w:val="20"/>
              </w:rPr>
              <w:t>Jahrgangsstufe</w:t>
            </w:r>
          </w:p>
        </w:tc>
        <w:tc>
          <w:tcPr>
            <w:tcW w:w="3240" w:type="dxa"/>
          </w:tcPr>
          <w:p w:rsidR="00F01B23" w:rsidRPr="00C35FAD" w:rsidRDefault="00F01B23" w:rsidP="00C35FAD">
            <w:pPr>
              <w:autoSpaceDE w:val="0"/>
              <w:autoSpaceDN w:val="0"/>
              <w:adjustRightInd w:val="0"/>
              <w:jc w:val="both"/>
              <w:rPr>
                <w:rFonts w:ascii="Times New Roman" w:hAnsi="Times New Roman" w:cs="Times New Roman"/>
                <w:sz w:val="20"/>
                <w:szCs w:val="20"/>
              </w:rPr>
            </w:pPr>
            <w:r w:rsidRPr="00C35FAD">
              <w:rPr>
                <w:rFonts w:ascii="Times New Roman" w:hAnsi="Times New Roman" w:cs="Times New Roman"/>
                <w:sz w:val="20"/>
                <w:szCs w:val="20"/>
              </w:rPr>
              <w:t>Anz</w:t>
            </w:r>
            <w:r w:rsidR="00C35FAD" w:rsidRPr="00C35FAD">
              <w:rPr>
                <w:rFonts w:ascii="Times New Roman" w:hAnsi="Times New Roman" w:cs="Times New Roman"/>
                <w:sz w:val="20"/>
                <w:szCs w:val="20"/>
              </w:rPr>
              <w:t>ahl</w:t>
            </w:r>
            <w:r w:rsidRPr="00C35FAD">
              <w:rPr>
                <w:rFonts w:ascii="Times New Roman" w:hAnsi="Times New Roman" w:cs="Times New Roman"/>
                <w:sz w:val="20"/>
                <w:szCs w:val="20"/>
              </w:rPr>
              <w:t xml:space="preserve"> d. Klassenarbeiten</w:t>
            </w:r>
          </w:p>
        </w:tc>
        <w:tc>
          <w:tcPr>
            <w:tcW w:w="2700" w:type="dxa"/>
          </w:tcPr>
          <w:p w:rsidR="00F01B23" w:rsidRPr="00C35FAD" w:rsidRDefault="00F01B23" w:rsidP="00F01B23">
            <w:pPr>
              <w:autoSpaceDE w:val="0"/>
              <w:autoSpaceDN w:val="0"/>
              <w:adjustRightInd w:val="0"/>
              <w:jc w:val="both"/>
              <w:rPr>
                <w:rFonts w:ascii="Times New Roman" w:hAnsi="Times New Roman" w:cs="Times New Roman"/>
                <w:sz w:val="20"/>
                <w:szCs w:val="20"/>
              </w:rPr>
            </w:pPr>
            <w:r w:rsidRPr="00C35FAD">
              <w:rPr>
                <w:rFonts w:ascii="Times New Roman" w:hAnsi="Times New Roman" w:cs="Times New Roman"/>
                <w:sz w:val="20"/>
                <w:szCs w:val="20"/>
              </w:rPr>
              <w:t>Umfang der Klassenarbeiten</w:t>
            </w:r>
          </w:p>
        </w:tc>
      </w:tr>
      <w:tr w:rsidR="00F01B23" w:rsidRPr="00C35FAD" w:rsidTr="00C35FAD">
        <w:tc>
          <w:tcPr>
            <w:tcW w:w="1544" w:type="dxa"/>
          </w:tcPr>
          <w:p w:rsidR="00F01B23" w:rsidRP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p>
        </w:tc>
        <w:tc>
          <w:tcPr>
            <w:tcW w:w="3240" w:type="dxa"/>
          </w:tcPr>
          <w:p w:rsidR="00F01B23" w:rsidRP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 pro Halbjahr</w:t>
            </w:r>
          </w:p>
        </w:tc>
        <w:tc>
          <w:tcPr>
            <w:tcW w:w="2700" w:type="dxa"/>
          </w:tcPr>
          <w:p w:rsidR="00F01B23" w:rsidRP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bis zu 1 Unterrichtsstunde</w:t>
            </w:r>
          </w:p>
        </w:tc>
      </w:tr>
      <w:tr w:rsidR="00F01B23" w:rsidRPr="00C35FAD" w:rsidTr="00C35FAD">
        <w:tc>
          <w:tcPr>
            <w:tcW w:w="1544" w:type="dxa"/>
          </w:tcPr>
          <w:p w:rsidR="00F01B23" w:rsidRP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p>
        </w:tc>
        <w:tc>
          <w:tcPr>
            <w:tcW w:w="3240" w:type="dxa"/>
          </w:tcPr>
          <w:p w:rsidR="00F01B23" w:rsidRP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 pro Halbjahr</w:t>
            </w:r>
          </w:p>
        </w:tc>
        <w:tc>
          <w:tcPr>
            <w:tcW w:w="2700" w:type="dxa"/>
          </w:tcPr>
          <w:p w:rsidR="00F01B23" w:rsidRP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Unterrichtsstunde</w:t>
            </w:r>
          </w:p>
        </w:tc>
      </w:tr>
      <w:tr w:rsidR="00C35FAD" w:rsidRPr="00C35FAD" w:rsidTr="00C35FAD">
        <w:tc>
          <w:tcPr>
            <w:tcW w:w="1544" w:type="dxa"/>
          </w:tcPr>
          <w:p w:rsidR="00C35FAD" w:rsidRP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p>
        </w:tc>
        <w:tc>
          <w:tcPr>
            <w:tcW w:w="3240" w:type="dxa"/>
          </w:tcPr>
          <w:p w:rsidR="00C35FAD" w:rsidRP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 pro Halbjahr</w:t>
            </w:r>
          </w:p>
        </w:tc>
        <w:tc>
          <w:tcPr>
            <w:tcW w:w="2700" w:type="dxa"/>
          </w:tcPr>
          <w:p w:rsidR="00C35FAD" w:rsidRP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Unterrichtsstunde</w:t>
            </w:r>
          </w:p>
        </w:tc>
      </w:tr>
      <w:tr w:rsidR="00F01B23" w:rsidRPr="00C35FAD" w:rsidTr="00C35FAD">
        <w:tc>
          <w:tcPr>
            <w:tcW w:w="1544" w:type="dxa"/>
          </w:tcPr>
          <w:p w:rsidR="00F01B23" w:rsidRP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w:t>
            </w:r>
          </w:p>
        </w:tc>
        <w:tc>
          <w:tcPr>
            <w:tcW w:w="3240" w:type="dxa"/>
          </w:tcPr>
          <w:p w:rsidR="00F01B23"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 pro Halbjahr</w:t>
            </w:r>
          </w:p>
          <w:p w:rsidR="00C35FAD" w:rsidRP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im 2. Hj. LS8 anstelle einer KA</w:t>
            </w:r>
          </w:p>
        </w:tc>
        <w:tc>
          <w:tcPr>
            <w:tcW w:w="2700" w:type="dxa"/>
          </w:tcPr>
          <w:p w:rsidR="00F01B23" w:rsidRP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Unterrichtsstunde</w:t>
            </w:r>
          </w:p>
        </w:tc>
      </w:tr>
      <w:tr w:rsidR="00C35FAD" w:rsidRPr="00C35FAD" w:rsidTr="00C35FAD">
        <w:tc>
          <w:tcPr>
            <w:tcW w:w="1544" w:type="dxa"/>
          </w:tcPr>
          <w:p w:rsid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w:t>
            </w:r>
          </w:p>
        </w:tc>
        <w:tc>
          <w:tcPr>
            <w:tcW w:w="3240" w:type="dxa"/>
          </w:tcPr>
          <w:p w:rsidR="00C35FAD" w:rsidRP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 pro Halbjahr</w:t>
            </w:r>
          </w:p>
        </w:tc>
        <w:tc>
          <w:tcPr>
            <w:tcW w:w="2700" w:type="dxa"/>
          </w:tcPr>
          <w:p w:rsidR="00C35FAD" w:rsidRPr="00C35FAD" w:rsidRDefault="00C35FAD" w:rsidP="00F01B2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 Unterrichtsstunden</w:t>
            </w:r>
          </w:p>
        </w:tc>
      </w:tr>
    </w:tbl>
    <w:p w:rsidR="00F01B23" w:rsidRDefault="00F01B23" w:rsidP="00F01B23">
      <w:pPr>
        <w:autoSpaceDE w:val="0"/>
        <w:autoSpaceDN w:val="0"/>
        <w:adjustRightInd w:val="0"/>
        <w:spacing w:after="0" w:line="240" w:lineRule="auto"/>
        <w:jc w:val="both"/>
        <w:rPr>
          <w:rFonts w:ascii="Times New Roman" w:hAnsi="Times New Roman" w:cs="Times New Roman"/>
          <w:sz w:val="24"/>
          <w:szCs w:val="24"/>
        </w:rPr>
      </w:pPr>
    </w:p>
    <w:p w:rsidR="00112CC9" w:rsidRPr="00C35FAD" w:rsidRDefault="00C35FAD" w:rsidP="00112CC9">
      <w:pPr>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Eine schriftliche Arbeit ist </w:t>
      </w:r>
      <w:r w:rsidR="00112CC9">
        <w:rPr>
          <w:rFonts w:ascii="Times New Roman" w:hAnsi="Times New Roman" w:cs="Times New Roman"/>
          <w:sz w:val="24"/>
          <w:szCs w:val="24"/>
        </w:rPr>
        <w:t xml:space="preserve">in der Sekundarstufe I </w:t>
      </w:r>
      <w:r>
        <w:rPr>
          <w:rFonts w:ascii="Times New Roman" w:hAnsi="Times New Roman" w:cs="Times New Roman"/>
          <w:sz w:val="24"/>
          <w:szCs w:val="24"/>
        </w:rPr>
        <w:t>in der Regel</w:t>
      </w:r>
      <w:r w:rsidR="00112CC9">
        <w:rPr>
          <w:rFonts w:ascii="Times New Roman" w:hAnsi="Times New Roman" w:cs="Times New Roman"/>
          <w:sz w:val="24"/>
          <w:szCs w:val="24"/>
        </w:rPr>
        <w:t xml:space="preserve"> nach folgenden Punkta</w:t>
      </w:r>
      <w:r w:rsidR="00112CC9">
        <w:rPr>
          <w:rFonts w:ascii="Times New Roman" w:hAnsi="Times New Roman" w:cs="Times New Roman"/>
          <w:sz w:val="24"/>
          <w:szCs w:val="24"/>
        </w:rPr>
        <w:t>n</w:t>
      </w:r>
      <w:r w:rsidR="00112CC9">
        <w:rPr>
          <w:rFonts w:ascii="Times New Roman" w:hAnsi="Times New Roman" w:cs="Times New Roman"/>
          <w:sz w:val="24"/>
          <w:szCs w:val="24"/>
        </w:rPr>
        <w:t xml:space="preserve">teilen </w:t>
      </w:r>
      <w:r w:rsidR="00A3321C">
        <w:rPr>
          <w:rFonts w:ascii="Times New Roman" w:hAnsi="Times New Roman" w:cs="Times New Roman"/>
          <w:sz w:val="24"/>
          <w:szCs w:val="24"/>
        </w:rPr>
        <w:t>bezüglich der maximal erreichbaren</w:t>
      </w:r>
      <w:r w:rsidR="00112CC9">
        <w:rPr>
          <w:rFonts w:ascii="Times New Roman" w:hAnsi="Times New Roman" w:cs="Times New Roman"/>
          <w:sz w:val="24"/>
          <w:szCs w:val="24"/>
        </w:rPr>
        <w:t xml:space="preserve"> Punktzahl zu bewerten:</w:t>
      </w:r>
      <w:r w:rsidR="00112CC9">
        <w:rPr>
          <w:rFonts w:ascii="Times New Roman" w:hAnsi="Times New Roman" w:cs="Times New Roman"/>
          <w:sz w:val="24"/>
          <w:szCs w:val="24"/>
        </w:rPr>
        <w:br/>
      </w:r>
    </w:p>
    <w:tbl>
      <w:tblPr>
        <w:tblStyle w:val="Tabellengitternetz"/>
        <w:tblW w:w="0" w:type="auto"/>
        <w:tblInd w:w="540" w:type="dxa"/>
        <w:tblLook w:val="04A0"/>
      </w:tblPr>
      <w:tblGrid>
        <w:gridCol w:w="1188"/>
        <w:gridCol w:w="2700"/>
        <w:gridCol w:w="720"/>
        <w:gridCol w:w="1321"/>
        <w:gridCol w:w="2819"/>
      </w:tblGrid>
      <w:tr w:rsidR="00843B9F" w:rsidTr="00843B9F">
        <w:tc>
          <w:tcPr>
            <w:tcW w:w="1188" w:type="dxa"/>
            <w:shd w:val="clear" w:color="auto" w:fill="A6A6A6" w:themeFill="background1" w:themeFillShade="A6"/>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Prozent</w:t>
            </w:r>
          </w:p>
        </w:tc>
        <w:tc>
          <w:tcPr>
            <w:tcW w:w="2700" w:type="dxa"/>
            <w:shd w:val="clear" w:color="auto" w:fill="A6A6A6" w:themeFill="background1" w:themeFillShade="A6"/>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Note</w:t>
            </w:r>
          </w:p>
        </w:tc>
        <w:tc>
          <w:tcPr>
            <w:tcW w:w="720" w:type="dxa"/>
            <w:vMerge w:val="restart"/>
            <w:tcBorders>
              <w:top w:val="nil"/>
              <w:bottom w:val="nil"/>
            </w:tcBorders>
          </w:tcPr>
          <w:p w:rsidR="00843B9F" w:rsidRDefault="00843B9F" w:rsidP="00112CC9">
            <w:pPr>
              <w:autoSpaceDE w:val="0"/>
              <w:autoSpaceDN w:val="0"/>
              <w:adjustRightInd w:val="0"/>
              <w:rPr>
                <w:rFonts w:ascii="Times New Roman" w:hAnsi="Times New Roman" w:cs="Times New Roman"/>
                <w:sz w:val="24"/>
                <w:szCs w:val="24"/>
              </w:rPr>
            </w:pPr>
          </w:p>
        </w:tc>
        <w:tc>
          <w:tcPr>
            <w:tcW w:w="1321" w:type="dxa"/>
            <w:shd w:val="clear" w:color="auto" w:fill="A6A6A6" w:themeFill="background1" w:themeFillShade="A6"/>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Prozent</w:t>
            </w:r>
          </w:p>
        </w:tc>
        <w:tc>
          <w:tcPr>
            <w:tcW w:w="2819" w:type="dxa"/>
            <w:shd w:val="clear" w:color="auto" w:fill="A6A6A6" w:themeFill="background1" w:themeFillShade="A6"/>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Note</w:t>
            </w:r>
          </w:p>
          <w:p w:rsidR="00843B9F" w:rsidRDefault="00843B9F" w:rsidP="00112CC9">
            <w:pPr>
              <w:autoSpaceDE w:val="0"/>
              <w:autoSpaceDN w:val="0"/>
              <w:adjustRightInd w:val="0"/>
              <w:rPr>
                <w:rFonts w:ascii="Times New Roman" w:hAnsi="Times New Roman" w:cs="Times New Roman"/>
                <w:sz w:val="24"/>
                <w:szCs w:val="24"/>
              </w:rPr>
            </w:pPr>
          </w:p>
        </w:tc>
      </w:tr>
      <w:tr w:rsidR="00843B9F" w:rsidTr="00843B9F">
        <w:tc>
          <w:tcPr>
            <w:tcW w:w="1188" w:type="dxa"/>
          </w:tcPr>
          <w:p w:rsidR="00843B9F" w:rsidRDefault="00843B9F" w:rsidP="00112CC9">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≥96 %</m:t>
                </m:r>
              </m:oMath>
            </m:oMathPara>
          </w:p>
        </w:tc>
        <w:tc>
          <w:tcPr>
            <w:tcW w:w="2700" w:type="dxa"/>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sehr gut plus</w:t>
            </w:r>
          </w:p>
        </w:tc>
        <w:tc>
          <w:tcPr>
            <w:tcW w:w="720" w:type="dxa"/>
            <w:vMerge/>
            <w:tcBorders>
              <w:bottom w:val="nil"/>
            </w:tcBorders>
          </w:tcPr>
          <w:p w:rsidR="00843B9F" w:rsidRDefault="00843B9F" w:rsidP="00A3321C">
            <w:pPr>
              <w:autoSpaceDE w:val="0"/>
              <w:autoSpaceDN w:val="0"/>
              <w:adjustRightInd w:val="0"/>
              <w:rPr>
                <w:rFonts w:ascii="Calibri" w:eastAsia="Calibri" w:hAnsi="Calibri" w:cs="Arial"/>
                <w:sz w:val="24"/>
                <w:szCs w:val="24"/>
              </w:rPr>
            </w:pPr>
          </w:p>
        </w:tc>
        <w:tc>
          <w:tcPr>
            <w:tcW w:w="1321" w:type="dxa"/>
          </w:tcPr>
          <w:p w:rsidR="00843B9F" w:rsidRDefault="00843B9F" w:rsidP="00A3321C">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≥55 %</m:t>
                </m:r>
              </m:oMath>
            </m:oMathPara>
          </w:p>
        </w:tc>
        <w:tc>
          <w:tcPr>
            <w:tcW w:w="2819" w:type="dxa"/>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ausreichend plus</w:t>
            </w:r>
          </w:p>
        </w:tc>
      </w:tr>
      <w:tr w:rsidR="00843B9F" w:rsidTr="00843B9F">
        <w:tc>
          <w:tcPr>
            <w:tcW w:w="1188" w:type="dxa"/>
          </w:tcPr>
          <w:p w:rsidR="00843B9F" w:rsidRDefault="00843B9F" w:rsidP="00112CC9">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≥92 %</m:t>
                </m:r>
              </m:oMath>
            </m:oMathPara>
          </w:p>
        </w:tc>
        <w:tc>
          <w:tcPr>
            <w:tcW w:w="2700" w:type="dxa"/>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sehr gut</w:t>
            </w:r>
          </w:p>
        </w:tc>
        <w:tc>
          <w:tcPr>
            <w:tcW w:w="720" w:type="dxa"/>
            <w:vMerge/>
            <w:tcBorders>
              <w:bottom w:val="nil"/>
            </w:tcBorders>
          </w:tcPr>
          <w:p w:rsidR="00843B9F" w:rsidRDefault="00843B9F" w:rsidP="00A3321C">
            <w:pPr>
              <w:autoSpaceDE w:val="0"/>
              <w:autoSpaceDN w:val="0"/>
              <w:adjustRightInd w:val="0"/>
              <w:rPr>
                <w:rFonts w:ascii="Times New Roman" w:eastAsia="Calibri" w:hAnsi="Times New Roman" w:cs="Times New Roman"/>
                <w:sz w:val="24"/>
                <w:szCs w:val="24"/>
              </w:rPr>
            </w:pPr>
          </w:p>
        </w:tc>
        <w:tc>
          <w:tcPr>
            <w:tcW w:w="1321" w:type="dxa"/>
          </w:tcPr>
          <w:p w:rsidR="00843B9F" w:rsidRDefault="00843B9F" w:rsidP="00A3321C">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≥50 %</m:t>
                </m:r>
              </m:oMath>
            </m:oMathPara>
          </w:p>
        </w:tc>
        <w:tc>
          <w:tcPr>
            <w:tcW w:w="2819" w:type="dxa"/>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ausreichend</w:t>
            </w:r>
          </w:p>
        </w:tc>
      </w:tr>
      <w:tr w:rsidR="00843B9F" w:rsidTr="00843B9F">
        <w:tc>
          <w:tcPr>
            <w:tcW w:w="1188" w:type="dxa"/>
            <w:tcBorders>
              <w:bottom w:val="single" w:sz="4" w:space="0" w:color="000000" w:themeColor="text1"/>
            </w:tcBorders>
          </w:tcPr>
          <w:p w:rsidR="00843B9F" w:rsidRDefault="00843B9F" w:rsidP="00112CC9">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≥88 %</m:t>
                </m:r>
              </m:oMath>
            </m:oMathPara>
          </w:p>
        </w:tc>
        <w:tc>
          <w:tcPr>
            <w:tcW w:w="2700" w:type="dxa"/>
            <w:tcBorders>
              <w:bottom w:val="single" w:sz="4" w:space="0" w:color="000000" w:themeColor="text1"/>
            </w:tcBorders>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sehr gut minus</w:t>
            </w:r>
          </w:p>
        </w:tc>
        <w:tc>
          <w:tcPr>
            <w:tcW w:w="720" w:type="dxa"/>
            <w:vMerge/>
            <w:tcBorders>
              <w:bottom w:val="nil"/>
            </w:tcBorders>
          </w:tcPr>
          <w:p w:rsidR="00843B9F" w:rsidRDefault="00843B9F" w:rsidP="00A3321C">
            <w:pPr>
              <w:autoSpaceDE w:val="0"/>
              <w:autoSpaceDN w:val="0"/>
              <w:adjustRightInd w:val="0"/>
              <w:rPr>
                <w:rFonts w:ascii="Times New Roman" w:eastAsia="Calibri" w:hAnsi="Times New Roman" w:cs="Times New Roman"/>
                <w:sz w:val="24"/>
                <w:szCs w:val="24"/>
              </w:rPr>
            </w:pPr>
          </w:p>
        </w:tc>
        <w:tc>
          <w:tcPr>
            <w:tcW w:w="1321" w:type="dxa"/>
            <w:tcBorders>
              <w:bottom w:val="single" w:sz="4" w:space="0" w:color="000000" w:themeColor="text1"/>
            </w:tcBorders>
          </w:tcPr>
          <w:p w:rsidR="00843B9F" w:rsidRDefault="00843B9F" w:rsidP="00A3321C">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≥45 %</m:t>
                </m:r>
              </m:oMath>
            </m:oMathPara>
          </w:p>
        </w:tc>
        <w:tc>
          <w:tcPr>
            <w:tcW w:w="2819" w:type="dxa"/>
            <w:tcBorders>
              <w:bottom w:val="single" w:sz="4" w:space="0" w:color="000000" w:themeColor="text1"/>
            </w:tcBorders>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ausreichend minus</w:t>
            </w:r>
          </w:p>
        </w:tc>
      </w:tr>
      <w:tr w:rsidR="00843B9F" w:rsidTr="00843B9F">
        <w:tc>
          <w:tcPr>
            <w:tcW w:w="1188" w:type="dxa"/>
            <w:shd w:val="clear" w:color="auto" w:fill="BFBFBF" w:themeFill="background1" w:themeFillShade="BF"/>
          </w:tcPr>
          <w:p w:rsidR="00843B9F" w:rsidRDefault="00843B9F" w:rsidP="00112CC9">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≥83 %</m:t>
                </m:r>
              </m:oMath>
            </m:oMathPara>
          </w:p>
        </w:tc>
        <w:tc>
          <w:tcPr>
            <w:tcW w:w="2700" w:type="dxa"/>
            <w:shd w:val="clear" w:color="auto" w:fill="BFBFBF" w:themeFill="background1" w:themeFillShade="BF"/>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gut plus</w:t>
            </w:r>
          </w:p>
        </w:tc>
        <w:tc>
          <w:tcPr>
            <w:tcW w:w="720" w:type="dxa"/>
            <w:vMerge/>
            <w:tcBorders>
              <w:bottom w:val="nil"/>
              <w:right w:val="nil"/>
            </w:tcBorders>
          </w:tcPr>
          <w:p w:rsidR="00843B9F" w:rsidRDefault="00843B9F" w:rsidP="00112CC9">
            <w:pPr>
              <w:autoSpaceDE w:val="0"/>
              <w:autoSpaceDN w:val="0"/>
              <w:adjustRightInd w:val="0"/>
              <w:rPr>
                <w:rFonts w:ascii="Times New Roman" w:hAnsi="Times New Roman" w:cs="Times New Roman"/>
                <w:sz w:val="24"/>
                <w:szCs w:val="24"/>
              </w:rPr>
            </w:pPr>
          </w:p>
        </w:tc>
        <w:tc>
          <w:tcPr>
            <w:tcW w:w="4140" w:type="dxa"/>
            <w:gridSpan w:val="2"/>
            <w:tcBorders>
              <w:left w:val="nil"/>
              <w:bottom w:val="single" w:sz="4" w:space="0" w:color="000000" w:themeColor="text1"/>
              <w:right w:val="nil"/>
            </w:tcBorders>
          </w:tcPr>
          <w:p w:rsidR="00843B9F" w:rsidRDefault="00843B9F" w:rsidP="00112CC9">
            <w:pPr>
              <w:autoSpaceDE w:val="0"/>
              <w:autoSpaceDN w:val="0"/>
              <w:adjustRightInd w:val="0"/>
              <w:rPr>
                <w:rFonts w:ascii="Times New Roman" w:hAnsi="Times New Roman" w:cs="Times New Roman"/>
                <w:sz w:val="24"/>
                <w:szCs w:val="24"/>
              </w:rPr>
            </w:pPr>
          </w:p>
        </w:tc>
      </w:tr>
      <w:tr w:rsidR="00843B9F" w:rsidTr="00843B9F">
        <w:tc>
          <w:tcPr>
            <w:tcW w:w="1188" w:type="dxa"/>
            <w:shd w:val="clear" w:color="auto" w:fill="BFBFBF" w:themeFill="background1" w:themeFillShade="BF"/>
          </w:tcPr>
          <w:p w:rsidR="00843B9F" w:rsidRDefault="00843B9F" w:rsidP="00112CC9">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≥78 %</m:t>
                </m:r>
              </m:oMath>
            </m:oMathPara>
          </w:p>
        </w:tc>
        <w:tc>
          <w:tcPr>
            <w:tcW w:w="2700" w:type="dxa"/>
            <w:shd w:val="clear" w:color="auto" w:fill="BFBFBF" w:themeFill="background1" w:themeFillShade="BF"/>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gut</w:t>
            </w:r>
          </w:p>
        </w:tc>
        <w:tc>
          <w:tcPr>
            <w:tcW w:w="720" w:type="dxa"/>
            <w:vMerge/>
            <w:tcBorders>
              <w:bottom w:val="nil"/>
            </w:tcBorders>
          </w:tcPr>
          <w:p w:rsidR="00843B9F" w:rsidRDefault="00843B9F" w:rsidP="00A3321C">
            <w:pPr>
              <w:autoSpaceDE w:val="0"/>
              <w:autoSpaceDN w:val="0"/>
              <w:adjustRightInd w:val="0"/>
              <w:rPr>
                <w:rFonts w:ascii="Times New Roman" w:eastAsia="Calibri" w:hAnsi="Times New Roman" w:cs="Times New Roman"/>
                <w:sz w:val="24"/>
                <w:szCs w:val="24"/>
              </w:rPr>
            </w:pPr>
          </w:p>
        </w:tc>
        <w:tc>
          <w:tcPr>
            <w:tcW w:w="1321" w:type="dxa"/>
            <w:shd w:val="clear" w:color="auto" w:fill="BFBFBF" w:themeFill="background1" w:themeFillShade="BF"/>
          </w:tcPr>
          <w:p w:rsidR="00843B9F" w:rsidRDefault="00843B9F" w:rsidP="00A3321C">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≥38 %</m:t>
                </m:r>
              </m:oMath>
            </m:oMathPara>
          </w:p>
        </w:tc>
        <w:tc>
          <w:tcPr>
            <w:tcW w:w="2819" w:type="dxa"/>
            <w:shd w:val="clear" w:color="auto" w:fill="BFBFBF" w:themeFill="background1" w:themeFillShade="BF"/>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mangelhaft plus</w:t>
            </w:r>
          </w:p>
        </w:tc>
      </w:tr>
      <w:tr w:rsidR="00843B9F" w:rsidTr="00843B9F">
        <w:tc>
          <w:tcPr>
            <w:tcW w:w="1188" w:type="dxa"/>
            <w:shd w:val="clear" w:color="auto" w:fill="BFBFBF" w:themeFill="background1" w:themeFillShade="BF"/>
          </w:tcPr>
          <w:p w:rsidR="00843B9F" w:rsidRDefault="00843B9F" w:rsidP="00112CC9">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≥74 %</m:t>
                </m:r>
              </m:oMath>
            </m:oMathPara>
          </w:p>
        </w:tc>
        <w:tc>
          <w:tcPr>
            <w:tcW w:w="2700" w:type="dxa"/>
            <w:shd w:val="clear" w:color="auto" w:fill="BFBFBF" w:themeFill="background1" w:themeFillShade="BF"/>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gut minus</w:t>
            </w:r>
          </w:p>
        </w:tc>
        <w:tc>
          <w:tcPr>
            <w:tcW w:w="720" w:type="dxa"/>
            <w:vMerge/>
            <w:tcBorders>
              <w:bottom w:val="nil"/>
            </w:tcBorders>
          </w:tcPr>
          <w:p w:rsidR="00843B9F" w:rsidRDefault="00843B9F" w:rsidP="00A3321C">
            <w:pPr>
              <w:autoSpaceDE w:val="0"/>
              <w:autoSpaceDN w:val="0"/>
              <w:adjustRightInd w:val="0"/>
              <w:rPr>
                <w:rFonts w:ascii="Times New Roman" w:eastAsia="Calibri" w:hAnsi="Times New Roman" w:cs="Times New Roman"/>
                <w:sz w:val="24"/>
                <w:szCs w:val="24"/>
              </w:rPr>
            </w:pPr>
          </w:p>
        </w:tc>
        <w:tc>
          <w:tcPr>
            <w:tcW w:w="1321" w:type="dxa"/>
            <w:shd w:val="clear" w:color="auto" w:fill="BFBFBF" w:themeFill="background1" w:themeFillShade="BF"/>
          </w:tcPr>
          <w:p w:rsidR="00843B9F" w:rsidRDefault="00843B9F" w:rsidP="00A3321C">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≥30 %</m:t>
                </m:r>
              </m:oMath>
            </m:oMathPara>
          </w:p>
        </w:tc>
        <w:tc>
          <w:tcPr>
            <w:tcW w:w="2819" w:type="dxa"/>
            <w:shd w:val="clear" w:color="auto" w:fill="BFBFBF" w:themeFill="background1" w:themeFillShade="BF"/>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mangelhaft</w:t>
            </w:r>
          </w:p>
        </w:tc>
      </w:tr>
      <w:tr w:rsidR="00843B9F" w:rsidTr="00843B9F">
        <w:tc>
          <w:tcPr>
            <w:tcW w:w="1188" w:type="dxa"/>
          </w:tcPr>
          <w:p w:rsidR="00843B9F" w:rsidRDefault="00843B9F" w:rsidP="00112CC9">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≥69 %</m:t>
                </m:r>
              </m:oMath>
            </m:oMathPara>
          </w:p>
        </w:tc>
        <w:tc>
          <w:tcPr>
            <w:tcW w:w="2700" w:type="dxa"/>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befriedigend plus</w:t>
            </w:r>
          </w:p>
        </w:tc>
        <w:tc>
          <w:tcPr>
            <w:tcW w:w="720" w:type="dxa"/>
            <w:vMerge/>
            <w:tcBorders>
              <w:bottom w:val="nil"/>
            </w:tcBorders>
          </w:tcPr>
          <w:p w:rsidR="00843B9F" w:rsidRDefault="00843B9F" w:rsidP="00A3321C">
            <w:pPr>
              <w:autoSpaceDE w:val="0"/>
              <w:autoSpaceDN w:val="0"/>
              <w:adjustRightInd w:val="0"/>
              <w:rPr>
                <w:rFonts w:ascii="Times New Roman" w:eastAsia="Calibri" w:hAnsi="Times New Roman" w:cs="Times New Roman"/>
                <w:sz w:val="24"/>
                <w:szCs w:val="24"/>
              </w:rPr>
            </w:pPr>
          </w:p>
        </w:tc>
        <w:tc>
          <w:tcPr>
            <w:tcW w:w="1321" w:type="dxa"/>
            <w:tcBorders>
              <w:bottom w:val="single" w:sz="4" w:space="0" w:color="000000" w:themeColor="text1"/>
            </w:tcBorders>
            <w:shd w:val="clear" w:color="auto" w:fill="BFBFBF" w:themeFill="background1" w:themeFillShade="BF"/>
          </w:tcPr>
          <w:p w:rsidR="00843B9F" w:rsidRDefault="00843B9F" w:rsidP="00A3321C">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≥23 %</m:t>
                </m:r>
              </m:oMath>
            </m:oMathPara>
          </w:p>
        </w:tc>
        <w:tc>
          <w:tcPr>
            <w:tcW w:w="2819" w:type="dxa"/>
            <w:tcBorders>
              <w:bottom w:val="single" w:sz="4" w:space="0" w:color="000000" w:themeColor="text1"/>
            </w:tcBorders>
            <w:shd w:val="clear" w:color="auto" w:fill="BFBFBF" w:themeFill="background1" w:themeFillShade="BF"/>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mangelhaft minus</w:t>
            </w:r>
          </w:p>
        </w:tc>
      </w:tr>
      <w:tr w:rsidR="00843B9F" w:rsidTr="00843B9F">
        <w:tc>
          <w:tcPr>
            <w:tcW w:w="1188" w:type="dxa"/>
          </w:tcPr>
          <w:p w:rsidR="00843B9F" w:rsidRDefault="00843B9F" w:rsidP="00112CC9">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≥65 %</m:t>
                </m:r>
              </m:oMath>
            </m:oMathPara>
          </w:p>
        </w:tc>
        <w:tc>
          <w:tcPr>
            <w:tcW w:w="2700" w:type="dxa"/>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befriedigend</w:t>
            </w:r>
          </w:p>
        </w:tc>
        <w:tc>
          <w:tcPr>
            <w:tcW w:w="720" w:type="dxa"/>
            <w:vMerge/>
            <w:tcBorders>
              <w:bottom w:val="nil"/>
              <w:right w:val="nil"/>
            </w:tcBorders>
          </w:tcPr>
          <w:p w:rsidR="00843B9F" w:rsidRDefault="00843B9F" w:rsidP="00112CC9">
            <w:pPr>
              <w:autoSpaceDE w:val="0"/>
              <w:autoSpaceDN w:val="0"/>
              <w:adjustRightInd w:val="0"/>
              <w:rPr>
                <w:rFonts w:ascii="Times New Roman" w:hAnsi="Times New Roman" w:cs="Times New Roman"/>
                <w:sz w:val="24"/>
                <w:szCs w:val="24"/>
              </w:rPr>
            </w:pPr>
          </w:p>
        </w:tc>
        <w:tc>
          <w:tcPr>
            <w:tcW w:w="4140" w:type="dxa"/>
            <w:gridSpan w:val="2"/>
            <w:tcBorders>
              <w:left w:val="nil"/>
              <w:right w:val="nil"/>
            </w:tcBorders>
          </w:tcPr>
          <w:p w:rsidR="00843B9F" w:rsidRDefault="00843B9F" w:rsidP="00112CC9">
            <w:pPr>
              <w:autoSpaceDE w:val="0"/>
              <w:autoSpaceDN w:val="0"/>
              <w:adjustRightInd w:val="0"/>
              <w:rPr>
                <w:rFonts w:ascii="Times New Roman" w:hAnsi="Times New Roman" w:cs="Times New Roman"/>
                <w:sz w:val="24"/>
                <w:szCs w:val="24"/>
              </w:rPr>
            </w:pPr>
          </w:p>
        </w:tc>
      </w:tr>
      <w:tr w:rsidR="00843B9F" w:rsidTr="00843B9F">
        <w:tc>
          <w:tcPr>
            <w:tcW w:w="1188" w:type="dxa"/>
          </w:tcPr>
          <w:p w:rsidR="00843B9F" w:rsidRPr="00112CC9" w:rsidRDefault="00843B9F" w:rsidP="00A3321C">
            <w:pPr>
              <w:autoSpaceDE w:val="0"/>
              <w:autoSpaceDN w:val="0"/>
              <w:adjustRightInd w:val="0"/>
              <w:rPr>
                <w:rFonts w:ascii="Times New Roman" w:hAnsi="Times New Roman" w:cs="Times New Roman"/>
                <w:sz w:val="24"/>
                <w:szCs w:val="24"/>
                <w:lang w:val="en-US"/>
              </w:rPr>
            </w:pPr>
            <m:oMathPara>
              <m:oMath>
                <m:r>
                  <w:rPr>
                    <w:rFonts w:ascii="Cambria Math" w:hAnsi="Cambria Math" w:cs="Times New Roman"/>
                    <w:sz w:val="24"/>
                    <w:szCs w:val="24"/>
                    <w:lang w:val="en-US"/>
                  </w:rPr>
                  <m:t>≥60 %</m:t>
                </m:r>
              </m:oMath>
            </m:oMathPara>
          </w:p>
        </w:tc>
        <w:tc>
          <w:tcPr>
            <w:tcW w:w="2700" w:type="dxa"/>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befriedigend minus</w:t>
            </w:r>
          </w:p>
        </w:tc>
        <w:tc>
          <w:tcPr>
            <w:tcW w:w="720" w:type="dxa"/>
            <w:vMerge/>
            <w:tcBorders>
              <w:bottom w:val="nil"/>
            </w:tcBorders>
          </w:tcPr>
          <w:p w:rsidR="00843B9F" w:rsidRDefault="00843B9F" w:rsidP="00A3321C">
            <w:pPr>
              <w:autoSpaceDE w:val="0"/>
              <w:autoSpaceDN w:val="0"/>
              <w:adjustRightInd w:val="0"/>
              <w:rPr>
                <w:rFonts w:ascii="Times New Roman" w:eastAsia="Calibri" w:hAnsi="Times New Roman" w:cs="Times New Roman"/>
                <w:sz w:val="24"/>
                <w:szCs w:val="24"/>
              </w:rPr>
            </w:pPr>
          </w:p>
        </w:tc>
        <w:tc>
          <w:tcPr>
            <w:tcW w:w="1321" w:type="dxa"/>
          </w:tcPr>
          <w:p w:rsidR="00843B9F" w:rsidRDefault="00843B9F" w:rsidP="00A3321C">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&lt;23%</m:t>
                </m:r>
              </m:oMath>
            </m:oMathPara>
          </w:p>
        </w:tc>
        <w:tc>
          <w:tcPr>
            <w:tcW w:w="2819" w:type="dxa"/>
          </w:tcPr>
          <w:p w:rsidR="00843B9F" w:rsidRDefault="00843B9F" w:rsidP="00112C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ungenügend</w:t>
            </w:r>
          </w:p>
        </w:tc>
      </w:tr>
    </w:tbl>
    <w:p w:rsidR="005C6EB5" w:rsidRDefault="00C35FAD" w:rsidP="00C35FAD">
      <w:pPr>
        <w:autoSpaceDE w:val="0"/>
        <w:autoSpaceDN w:val="0"/>
        <w:adjustRightInd w:val="0"/>
        <w:spacing w:after="0" w:line="240" w:lineRule="auto"/>
        <w:ind w:left="540"/>
        <w:jc w:val="both"/>
        <w:rPr>
          <w:rFonts w:ascii="Times New Roman" w:hAnsi="Times New Roman" w:cs="Times New Roman"/>
          <w:sz w:val="24"/>
          <w:szCs w:val="24"/>
        </w:rPr>
      </w:pPr>
      <w:r w:rsidRPr="00C35FAD">
        <w:rPr>
          <w:rFonts w:ascii="Times New Roman" w:hAnsi="Times New Roman" w:cs="Times New Roman"/>
          <w:sz w:val="24"/>
          <w:szCs w:val="24"/>
        </w:rPr>
        <w:lastRenderedPageBreak/>
        <w:t>Bei besonderen Auffälligkeiten ist die Korrektur und Bewertung der schriftlichen Arbe</w:t>
      </w:r>
      <w:r w:rsidRPr="00C35FAD">
        <w:rPr>
          <w:rFonts w:ascii="Times New Roman" w:hAnsi="Times New Roman" w:cs="Times New Roman"/>
          <w:sz w:val="24"/>
          <w:szCs w:val="24"/>
        </w:rPr>
        <w:t>i</w:t>
      </w:r>
      <w:r w:rsidRPr="00C35FAD">
        <w:rPr>
          <w:rFonts w:ascii="Times New Roman" w:hAnsi="Times New Roman" w:cs="Times New Roman"/>
          <w:sz w:val="24"/>
          <w:szCs w:val="24"/>
        </w:rPr>
        <w:t>ten mit individualisierten Leistungskommentaren</w:t>
      </w:r>
      <w:r>
        <w:rPr>
          <w:rFonts w:ascii="Times New Roman" w:hAnsi="Times New Roman" w:cs="Times New Roman"/>
          <w:sz w:val="24"/>
          <w:szCs w:val="24"/>
        </w:rPr>
        <w:t xml:space="preserve"> </w:t>
      </w:r>
      <w:r w:rsidRPr="00C35FAD">
        <w:rPr>
          <w:rFonts w:ascii="Times New Roman" w:hAnsi="Times New Roman" w:cs="Times New Roman"/>
          <w:sz w:val="24"/>
          <w:szCs w:val="24"/>
        </w:rPr>
        <w:t>und individualisierten Lernhilfen zu versehen.</w:t>
      </w:r>
      <w:r w:rsidR="00843B9F">
        <w:rPr>
          <w:rFonts w:ascii="Times New Roman" w:hAnsi="Times New Roman" w:cs="Times New Roman"/>
          <w:sz w:val="24"/>
          <w:szCs w:val="24"/>
        </w:rPr>
        <w:br/>
      </w:r>
      <w:r w:rsidR="00843B9F">
        <w:rPr>
          <w:rFonts w:ascii="Times New Roman" w:hAnsi="Times New Roman" w:cs="Times New Roman"/>
          <w:sz w:val="24"/>
          <w:szCs w:val="24"/>
        </w:rPr>
        <w:br/>
        <w:t>Es wird empfohlen, die Klassenarbeit in der Sekundarstufe I von einem Erziehungsb</w:t>
      </w:r>
      <w:r w:rsidR="00843B9F">
        <w:rPr>
          <w:rFonts w:ascii="Times New Roman" w:hAnsi="Times New Roman" w:cs="Times New Roman"/>
          <w:sz w:val="24"/>
          <w:szCs w:val="24"/>
        </w:rPr>
        <w:t>e</w:t>
      </w:r>
      <w:r w:rsidR="00843B9F">
        <w:rPr>
          <w:rFonts w:ascii="Times New Roman" w:hAnsi="Times New Roman" w:cs="Times New Roman"/>
          <w:sz w:val="24"/>
          <w:szCs w:val="24"/>
        </w:rPr>
        <w:t>rechtigten abzeichnen zu lassen.</w:t>
      </w:r>
      <w:r w:rsidR="00843B9F">
        <w:rPr>
          <w:rFonts w:ascii="Times New Roman" w:hAnsi="Times New Roman" w:cs="Times New Roman"/>
          <w:sz w:val="24"/>
          <w:szCs w:val="24"/>
        </w:rPr>
        <w:tab/>
      </w:r>
      <w:r w:rsidR="0012688F">
        <w:rPr>
          <w:rFonts w:ascii="Times New Roman" w:hAnsi="Times New Roman" w:cs="Times New Roman"/>
          <w:sz w:val="24"/>
          <w:szCs w:val="24"/>
        </w:rPr>
        <w:br/>
      </w:r>
      <w:r w:rsidR="0012688F">
        <w:rPr>
          <w:rFonts w:ascii="Times New Roman" w:hAnsi="Times New Roman" w:cs="Times New Roman"/>
          <w:sz w:val="24"/>
          <w:szCs w:val="24"/>
        </w:rPr>
        <w:br/>
        <w:t>In der Sekundarstufe II orientieren sich insbesondere in der Qualifikationsphase die B</w:t>
      </w:r>
      <w:r w:rsidR="0012688F">
        <w:rPr>
          <w:rFonts w:ascii="Times New Roman" w:hAnsi="Times New Roman" w:cs="Times New Roman"/>
          <w:sz w:val="24"/>
          <w:szCs w:val="24"/>
        </w:rPr>
        <w:t>e</w:t>
      </w:r>
      <w:r w:rsidR="0012688F">
        <w:rPr>
          <w:rFonts w:ascii="Times New Roman" w:hAnsi="Times New Roman" w:cs="Times New Roman"/>
          <w:sz w:val="24"/>
          <w:szCs w:val="24"/>
        </w:rPr>
        <w:t>wertungen an den Vorgaben des Zentralabiturs.</w:t>
      </w:r>
      <w:r w:rsidR="00CD373F">
        <w:rPr>
          <w:rFonts w:ascii="Times New Roman" w:hAnsi="Times New Roman" w:cs="Times New Roman"/>
          <w:sz w:val="24"/>
          <w:szCs w:val="24"/>
        </w:rPr>
        <w:tab/>
      </w:r>
      <w:r w:rsidR="00CD373F">
        <w:rPr>
          <w:rFonts w:ascii="Times New Roman" w:hAnsi="Times New Roman" w:cs="Times New Roman"/>
          <w:sz w:val="24"/>
          <w:szCs w:val="24"/>
        </w:rPr>
        <w:br/>
      </w:r>
    </w:p>
    <w:tbl>
      <w:tblPr>
        <w:tblStyle w:val="Tabellengitternetz"/>
        <w:tblW w:w="0" w:type="auto"/>
        <w:tblInd w:w="540" w:type="dxa"/>
        <w:tblLayout w:type="fixed"/>
        <w:tblLook w:val="04A0"/>
      </w:tblPr>
      <w:tblGrid>
        <w:gridCol w:w="997"/>
        <w:gridCol w:w="2171"/>
        <w:gridCol w:w="900"/>
        <w:gridCol w:w="540"/>
        <w:gridCol w:w="1080"/>
        <w:gridCol w:w="2166"/>
        <w:gridCol w:w="894"/>
      </w:tblGrid>
      <w:tr w:rsidR="005C6EB5" w:rsidTr="005C6EB5">
        <w:tc>
          <w:tcPr>
            <w:tcW w:w="997" w:type="dxa"/>
            <w:shd w:val="clear" w:color="auto" w:fill="A6A6A6" w:themeFill="background1" w:themeFillShade="A6"/>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Prozent</w:t>
            </w:r>
          </w:p>
        </w:tc>
        <w:tc>
          <w:tcPr>
            <w:tcW w:w="2171" w:type="dxa"/>
            <w:shd w:val="clear" w:color="auto" w:fill="A6A6A6" w:themeFill="background1" w:themeFillShade="A6"/>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Note</w:t>
            </w:r>
          </w:p>
        </w:tc>
        <w:tc>
          <w:tcPr>
            <w:tcW w:w="900" w:type="dxa"/>
            <w:shd w:val="clear" w:color="auto" w:fill="A6A6A6" w:themeFill="background1" w:themeFillShade="A6"/>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Punkte</w:t>
            </w:r>
          </w:p>
        </w:tc>
        <w:tc>
          <w:tcPr>
            <w:tcW w:w="540" w:type="dxa"/>
            <w:vMerge w:val="restart"/>
            <w:tcBorders>
              <w:top w:val="nil"/>
            </w:tcBorders>
          </w:tcPr>
          <w:p w:rsidR="005C6EB5" w:rsidRDefault="005C6EB5" w:rsidP="00920824">
            <w:pPr>
              <w:autoSpaceDE w:val="0"/>
              <w:autoSpaceDN w:val="0"/>
              <w:adjustRightInd w:val="0"/>
              <w:rPr>
                <w:rFonts w:ascii="Times New Roman" w:hAnsi="Times New Roman" w:cs="Times New Roman"/>
                <w:sz w:val="24"/>
                <w:szCs w:val="24"/>
              </w:rPr>
            </w:pPr>
          </w:p>
        </w:tc>
        <w:tc>
          <w:tcPr>
            <w:tcW w:w="1080" w:type="dxa"/>
            <w:shd w:val="clear" w:color="auto" w:fill="A6A6A6" w:themeFill="background1" w:themeFillShade="A6"/>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Prozent</w:t>
            </w:r>
          </w:p>
        </w:tc>
        <w:tc>
          <w:tcPr>
            <w:tcW w:w="2166" w:type="dxa"/>
            <w:shd w:val="clear" w:color="auto" w:fill="A6A6A6" w:themeFill="background1" w:themeFillShade="A6"/>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Note</w:t>
            </w:r>
          </w:p>
          <w:p w:rsidR="005C6EB5" w:rsidRDefault="005C6EB5" w:rsidP="00920824">
            <w:pPr>
              <w:autoSpaceDE w:val="0"/>
              <w:autoSpaceDN w:val="0"/>
              <w:adjustRightInd w:val="0"/>
              <w:rPr>
                <w:rFonts w:ascii="Times New Roman" w:hAnsi="Times New Roman" w:cs="Times New Roman"/>
                <w:sz w:val="24"/>
                <w:szCs w:val="24"/>
              </w:rPr>
            </w:pPr>
          </w:p>
        </w:tc>
        <w:tc>
          <w:tcPr>
            <w:tcW w:w="894" w:type="dxa"/>
            <w:shd w:val="clear" w:color="auto" w:fill="A6A6A6" w:themeFill="background1" w:themeFillShade="A6"/>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Punkte</w:t>
            </w:r>
          </w:p>
        </w:tc>
      </w:tr>
      <w:tr w:rsidR="005C6EB5" w:rsidTr="005C6EB5">
        <w:tc>
          <w:tcPr>
            <w:tcW w:w="997" w:type="dxa"/>
          </w:tcPr>
          <w:p w:rsidR="005C6EB5" w:rsidRDefault="005C6EB5" w:rsidP="00843B9F">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≥95 %</m:t>
                </m:r>
              </m:oMath>
            </m:oMathPara>
          </w:p>
        </w:tc>
        <w:tc>
          <w:tcPr>
            <w:tcW w:w="2171" w:type="dxa"/>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sehr gut plus</w:t>
            </w:r>
          </w:p>
        </w:tc>
        <w:tc>
          <w:tcPr>
            <w:tcW w:w="900" w:type="dxa"/>
          </w:tcPr>
          <w:p w:rsidR="005C6EB5" w:rsidRDefault="005C6EB5" w:rsidP="00920824">
            <w:pPr>
              <w:autoSpaceDE w:val="0"/>
              <w:autoSpaceDN w:val="0"/>
              <w:adjustRightInd w:val="0"/>
              <w:rPr>
                <w:rFonts w:ascii="Calibri" w:eastAsia="Calibri" w:hAnsi="Calibri" w:cs="Arial"/>
                <w:sz w:val="24"/>
                <w:szCs w:val="24"/>
              </w:rPr>
            </w:pPr>
            <w:r>
              <w:rPr>
                <w:rFonts w:ascii="Calibri" w:eastAsia="Calibri" w:hAnsi="Calibri" w:cs="Arial"/>
                <w:sz w:val="24"/>
                <w:szCs w:val="24"/>
              </w:rPr>
              <w:t>15</w:t>
            </w:r>
          </w:p>
        </w:tc>
        <w:tc>
          <w:tcPr>
            <w:tcW w:w="540" w:type="dxa"/>
            <w:vMerge/>
          </w:tcPr>
          <w:p w:rsidR="005C6EB5" w:rsidRDefault="005C6EB5" w:rsidP="00920824">
            <w:pPr>
              <w:autoSpaceDE w:val="0"/>
              <w:autoSpaceDN w:val="0"/>
              <w:adjustRightInd w:val="0"/>
              <w:rPr>
                <w:rFonts w:ascii="Calibri" w:eastAsia="Calibri" w:hAnsi="Calibri" w:cs="Arial"/>
                <w:sz w:val="24"/>
                <w:szCs w:val="24"/>
              </w:rPr>
            </w:pPr>
          </w:p>
        </w:tc>
        <w:tc>
          <w:tcPr>
            <w:tcW w:w="1080" w:type="dxa"/>
          </w:tcPr>
          <w:p w:rsidR="005C6EB5" w:rsidRDefault="005C6EB5" w:rsidP="00920824">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≥50 %</m:t>
                </m:r>
              </m:oMath>
            </m:oMathPara>
          </w:p>
        </w:tc>
        <w:tc>
          <w:tcPr>
            <w:tcW w:w="2166" w:type="dxa"/>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ausreichend plus</w:t>
            </w:r>
          </w:p>
        </w:tc>
        <w:tc>
          <w:tcPr>
            <w:tcW w:w="894" w:type="dxa"/>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r>
      <w:tr w:rsidR="005C6EB5" w:rsidTr="005C6EB5">
        <w:tc>
          <w:tcPr>
            <w:tcW w:w="997" w:type="dxa"/>
          </w:tcPr>
          <w:p w:rsidR="005C6EB5" w:rsidRDefault="005C6EB5" w:rsidP="00920824">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≥90 %</m:t>
                </m:r>
              </m:oMath>
            </m:oMathPara>
          </w:p>
        </w:tc>
        <w:tc>
          <w:tcPr>
            <w:tcW w:w="2171" w:type="dxa"/>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sehr gut</w:t>
            </w:r>
          </w:p>
        </w:tc>
        <w:tc>
          <w:tcPr>
            <w:tcW w:w="900" w:type="dxa"/>
          </w:tcPr>
          <w:p w:rsidR="005C6EB5" w:rsidRDefault="005C6EB5" w:rsidP="0092082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40" w:type="dxa"/>
            <w:vMerge/>
          </w:tcPr>
          <w:p w:rsidR="005C6EB5" w:rsidRDefault="005C6EB5" w:rsidP="00920824">
            <w:pPr>
              <w:autoSpaceDE w:val="0"/>
              <w:autoSpaceDN w:val="0"/>
              <w:adjustRightInd w:val="0"/>
              <w:rPr>
                <w:rFonts w:ascii="Times New Roman" w:eastAsia="Calibri" w:hAnsi="Times New Roman" w:cs="Times New Roman"/>
                <w:sz w:val="24"/>
                <w:szCs w:val="24"/>
              </w:rPr>
            </w:pPr>
          </w:p>
        </w:tc>
        <w:tc>
          <w:tcPr>
            <w:tcW w:w="1080" w:type="dxa"/>
          </w:tcPr>
          <w:p w:rsidR="005C6EB5" w:rsidRDefault="005C6EB5" w:rsidP="00920824">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≥45 %</m:t>
                </m:r>
              </m:oMath>
            </m:oMathPara>
          </w:p>
        </w:tc>
        <w:tc>
          <w:tcPr>
            <w:tcW w:w="2166" w:type="dxa"/>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ausreichend</w:t>
            </w:r>
          </w:p>
        </w:tc>
        <w:tc>
          <w:tcPr>
            <w:tcW w:w="894" w:type="dxa"/>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r>
      <w:tr w:rsidR="005C6EB5" w:rsidTr="005C6EB5">
        <w:tc>
          <w:tcPr>
            <w:tcW w:w="997" w:type="dxa"/>
            <w:tcBorders>
              <w:bottom w:val="single" w:sz="4" w:space="0" w:color="000000" w:themeColor="text1"/>
            </w:tcBorders>
          </w:tcPr>
          <w:p w:rsidR="005C6EB5" w:rsidRDefault="005C6EB5" w:rsidP="00920824">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≥85 %</m:t>
                </m:r>
              </m:oMath>
            </m:oMathPara>
          </w:p>
        </w:tc>
        <w:tc>
          <w:tcPr>
            <w:tcW w:w="2171" w:type="dxa"/>
            <w:tcBorders>
              <w:bottom w:val="single" w:sz="4" w:space="0" w:color="000000" w:themeColor="text1"/>
            </w:tcBorders>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sehr gut minus</w:t>
            </w:r>
          </w:p>
        </w:tc>
        <w:tc>
          <w:tcPr>
            <w:tcW w:w="900" w:type="dxa"/>
            <w:tcBorders>
              <w:bottom w:val="single" w:sz="4" w:space="0" w:color="000000" w:themeColor="text1"/>
            </w:tcBorders>
          </w:tcPr>
          <w:p w:rsidR="005C6EB5" w:rsidRDefault="005C6EB5" w:rsidP="0092082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40" w:type="dxa"/>
            <w:vMerge/>
          </w:tcPr>
          <w:p w:rsidR="005C6EB5" w:rsidRDefault="005C6EB5" w:rsidP="00920824">
            <w:pPr>
              <w:autoSpaceDE w:val="0"/>
              <w:autoSpaceDN w:val="0"/>
              <w:adjustRightInd w:val="0"/>
              <w:rPr>
                <w:rFonts w:ascii="Times New Roman" w:eastAsia="Calibri" w:hAnsi="Times New Roman" w:cs="Times New Roman"/>
                <w:sz w:val="24"/>
                <w:szCs w:val="24"/>
              </w:rPr>
            </w:pPr>
          </w:p>
        </w:tc>
        <w:tc>
          <w:tcPr>
            <w:tcW w:w="1080" w:type="dxa"/>
            <w:tcBorders>
              <w:bottom w:val="single" w:sz="4" w:space="0" w:color="000000" w:themeColor="text1"/>
            </w:tcBorders>
          </w:tcPr>
          <w:p w:rsidR="005C6EB5" w:rsidRDefault="005C6EB5" w:rsidP="00920824">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≥39 %</m:t>
                </m:r>
              </m:oMath>
            </m:oMathPara>
          </w:p>
        </w:tc>
        <w:tc>
          <w:tcPr>
            <w:tcW w:w="2166" w:type="dxa"/>
            <w:tcBorders>
              <w:bottom w:val="single" w:sz="4" w:space="0" w:color="000000" w:themeColor="text1"/>
            </w:tcBorders>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ausreichend minus</w:t>
            </w:r>
          </w:p>
        </w:tc>
        <w:tc>
          <w:tcPr>
            <w:tcW w:w="894" w:type="dxa"/>
            <w:tcBorders>
              <w:bottom w:val="single" w:sz="4" w:space="0" w:color="000000" w:themeColor="text1"/>
            </w:tcBorders>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r>
      <w:tr w:rsidR="005C6EB5" w:rsidTr="00843B9F">
        <w:tc>
          <w:tcPr>
            <w:tcW w:w="997" w:type="dxa"/>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≥80 %</m:t>
                </m:r>
              </m:oMath>
            </m:oMathPara>
          </w:p>
        </w:tc>
        <w:tc>
          <w:tcPr>
            <w:tcW w:w="2171" w:type="dxa"/>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gut plus</w:t>
            </w:r>
          </w:p>
        </w:tc>
        <w:tc>
          <w:tcPr>
            <w:tcW w:w="900" w:type="dxa"/>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540" w:type="dxa"/>
            <w:vMerge/>
            <w:tcBorders>
              <w:right w:val="nil"/>
            </w:tcBorders>
          </w:tcPr>
          <w:p w:rsidR="005C6EB5" w:rsidRDefault="005C6EB5" w:rsidP="00920824">
            <w:pPr>
              <w:autoSpaceDE w:val="0"/>
              <w:autoSpaceDN w:val="0"/>
              <w:adjustRightInd w:val="0"/>
              <w:rPr>
                <w:rFonts w:ascii="Times New Roman" w:hAnsi="Times New Roman" w:cs="Times New Roman"/>
                <w:sz w:val="24"/>
                <w:szCs w:val="24"/>
              </w:rPr>
            </w:pPr>
          </w:p>
        </w:tc>
        <w:tc>
          <w:tcPr>
            <w:tcW w:w="4140" w:type="dxa"/>
            <w:gridSpan w:val="3"/>
            <w:tcBorders>
              <w:left w:val="nil"/>
              <w:bottom w:val="single" w:sz="4" w:space="0" w:color="000000" w:themeColor="text1"/>
              <w:right w:val="nil"/>
            </w:tcBorders>
          </w:tcPr>
          <w:p w:rsidR="005C6EB5" w:rsidRDefault="005C6EB5" w:rsidP="00920824">
            <w:pPr>
              <w:autoSpaceDE w:val="0"/>
              <w:autoSpaceDN w:val="0"/>
              <w:adjustRightInd w:val="0"/>
              <w:rPr>
                <w:rFonts w:ascii="Times New Roman" w:hAnsi="Times New Roman" w:cs="Times New Roman"/>
                <w:sz w:val="24"/>
                <w:szCs w:val="24"/>
              </w:rPr>
            </w:pPr>
          </w:p>
        </w:tc>
      </w:tr>
      <w:tr w:rsidR="005C6EB5" w:rsidTr="00843B9F">
        <w:tc>
          <w:tcPr>
            <w:tcW w:w="997" w:type="dxa"/>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≥75 %</m:t>
                </m:r>
              </m:oMath>
            </m:oMathPara>
          </w:p>
        </w:tc>
        <w:tc>
          <w:tcPr>
            <w:tcW w:w="2171" w:type="dxa"/>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gut</w:t>
            </w:r>
          </w:p>
        </w:tc>
        <w:tc>
          <w:tcPr>
            <w:tcW w:w="900" w:type="dxa"/>
            <w:shd w:val="clear" w:color="auto" w:fill="BFBFBF" w:themeFill="background1" w:themeFillShade="BF"/>
          </w:tcPr>
          <w:p w:rsidR="005C6EB5" w:rsidRDefault="005C6EB5" w:rsidP="0092082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40" w:type="dxa"/>
            <w:vMerge/>
          </w:tcPr>
          <w:p w:rsidR="005C6EB5" w:rsidRDefault="005C6EB5" w:rsidP="00920824">
            <w:pPr>
              <w:autoSpaceDE w:val="0"/>
              <w:autoSpaceDN w:val="0"/>
              <w:adjustRightInd w:val="0"/>
              <w:rPr>
                <w:rFonts w:ascii="Times New Roman" w:eastAsia="Calibri" w:hAnsi="Times New Roman" w:cs="Times New Roman"/>
                <w:sz w:val="24"/>
                <w:szCs w:val="24"/>
              </w:rPr>
            </w:pPr>
          </w:p>
        </w:tc>
        <w:tc>
          <w:tcPr>
            <w:tcW w:w="1080" w:type="dxa"/>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≥33 %</m:t>
                </m:r>
              </m:oMath>
            </m:oMathPara>
          </w:p>
        </w:tc>
        <w:tc>
          <w:tcPr>
            <w:tcW w:w="2166" w:type="dxa"/>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mangelhaft plus</w:t>
            </w:r>
          </w:p>
        </w:tc>
        <w:tc>
          <w:tcPr>
            <w:tcW w:w="894" w:type="dxa"/>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5C6EB5" w:rsidTr="00843B9F">
        <w:tc>
          <w:tcPr>
            <w:tcW w:w="997" w:type="dxa"/>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≥70 %</m:t>
                </m:r>
              </m:oMath>
            </m:oMathPara>
          </w:p>
        </w:tc>
        <w:tc>
          <w:tcPr>
            <w:tcW w:w="2171" w:type="dxa"/>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gut minus</w:t>
            </w:r>
          </w:p>
        </w:tc>
        <w:tc>
          <w:tcPr>
            <w:tcW w:w="900" w:type="dxa"/>
            <w:shd w:val="clear" w:color="auto" w:fill="BFBFBF" w:themeFill="background1" w:themeFillShade="BF"/>
          </w:tcPr>
          <w:p w:rsidR="005C6EB5" w:rsidRDefault="005C6EB5" w:rsidP="0092082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40" w:type="dxa"/>
            <w:vMerge/>
          </w:tcPr>
          <w:p w:rsidR="005C6EB5" w:rsidRDefault="005C6EB5" w:rsidP="00920824">
            <w:pPr>
              <w:autoSpaceDE w:val="0"/>
              <w:autoSpaceDN w:val="0"/>
              <w:adjustRightInd w:val="0"/>
              <w:rPr>
                <w:rFonts w:ascii="Times New Roman" w:eastAsia="Calibri" w:hAnsi="Times New Roman" w:cs="Times New Roman"/>
                <w:sz w:val="24"/>
                <w:szCs w:val="24"/>
              </w:rPr>
            </w:pPr>
          </w:p>
        </w:tc>
        <w:tc>
          <w:tcPr>
            <w:tcW w:w="1080" w:type="dxa"/>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≥26 %</m:t>
                </m:r>
              </m:oMath>
            </m:oMathPara>
          </w:p>
        </w:tc>
        <w:tc>
          <w:tcPr>
            <w:tcW w:w="2166" w:type="dxa"/>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mangelhaft</w:t>
            </w:r>
          </w:p>
        </w:tc>
        <w:tc>
          <w:tcPr>
            <w:tcW w:w="894" w:type="dxa"/>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5C6EB5" w:rsidTr="00843B9F">
        <w:tc>
          <w:tcPr>
            <w:tcW w:w="997" w:type="dxa"/>
          </w:tcPr>
          <w:p w:rsidR="005C6EB5" w:rsidRDefault="005C6EB5" w:rsidP="00920824">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≥65 %</m:t>
                </m:r>
              </m:oMath>
            </m:oMathPara>
          </w:p>
        </w:tc>
        <w:tc>
          <w:tcPr>
            <w:tcW w:w="2171" w:type="dxa"/>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befriedigend plus</w:t>
            </w:r>
          </w:p>
        </w:tc>
        <w:tc>
          <w:tcPr>
            <w:tcW w:w="900" w:type="dxa"/>
          </w:tcPr>
          <w:p w:rsidR="005C6EB5" w:rsidRDefault="005C6EB5" w:rsidP="0092082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40" w:type="dxa"/>
            <w:vMerge/>
          </w:tcPr>
          <w:p w:rsidR="005C6EB5" w:rsidRDefault="005C6EB5" w:rsidP="00920824">
            <w:pPr>
              <w:autoSpaceDE w:val="0"/>
              <w:autoSpaceDN w:val="0"/>
              <w:adjustRightInd w:val="0"/>
              <w:rPr>
                <w:rFonts w:ascii="Times New Roman" w:eastAsia="Calibri" w:hAnsi="Times New Roman" w:cs="Times New Roman"/>
                <w:sz w:val="24"/>
                <w:szCs w:val="24"/>
              </w:rPr>
            </w:pPr>
          </w:p>
        </w:tc>
        <w:tc>
          <w:tcPr>
            <w:tcW w:w="1080" w:type="dxa"/>
            <w:tcBorders>
              <w:bottom w:val="single" w:sz="4" w:space="0" w:color="000000" w:themeColor="text1"/>
            </w:tcBorders>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≥20 %</m:t>
                </m:r>
              </m:oMath>
            </m:oMathPara>
          </w:p>
        </w:tc>
        <w:tc>
          <w:tcPr>
            <w:tcW w:w="2166" w:type="dxa"/>
            <w:tcBorders>
              <w:bottom w:val="single" w:sz="4" w:space="0" w:color="000000" w:themeColor="text1"/>
            </w:tcBorders>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mangelhaft minus</w:t>
            </w:r>
          </w:p>
        </w:tc>
        <w:tc>
          <w:tcPr>
            <w:tcW w:w="894" w:type="dxa"/>
            <w:tcBorders>
              <w:bottom w:val="single" w:sz="4" w:space="0" w:color="000000" w:themeColor="text1"/>
            </w:tcBorders>
            <w:shd w:val="clear" w:color="auto" w:fill="BFBFBF" w:themeFill="background1" w:themeFillShade="BF"/>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5C6EB5" w:rsidTr="005C6EB5">
        <w:tc>
          <w:tcPr>
            <w:tcW w:w="997" w:type="dxa"/>
          </w:tcPr>
          <w:p w:rsidR="005C6EB5" w:rsidRDefault="005C6EB5" w:rsidP="00920824">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≥60 %</m:t>
                </m:r>
              </m:oMath>
            </m:oMathPara>
          </w:p>
        </w:tc>
        <w:tc>
          <w:tcPr>
            <w:tcW w:w="2171" w:type="dxa"/>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befriedigend</w:t>
            </w:r>
          </w:p>
        </w:tc>
        <w:tc>
          <w:tcPr>
            <w:tcW w:w="900" w:type="dxa"/>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540" w:type="dxa"/>
            <w:vMerge/>
            <w:tcBorders>
              <w:right w:val="nil"/>
            </w:tcBorders>
          </w:tcPr>
          <w:p w:rsidR="005C6EB5" w:rsidRDefault="005C6EB5" w:rsidP="00920824">
            <w:pPr>
              <w:autoSpaceDE w:val="0"/>
              <w:autoSpaceDN w:val="0"/>
              <w:adjustRightInd w:val="0"/>
              <w:rPr>
                <w:rFonts w:ascii="Times New Roman" w:hAnsi="Times New Roman" w:cs="Times New Roman"/>
                <w:sz w:val="24"/>
                <w:szCs w:val="24"/>
              </w:rPr>
            </w:pPr>
          </w:p>
        </w:tc>
        <w:tc>
          <w:tcPr>
            <w:tcW w:w="4140" w:type="dxa"/>
            <w:gridSpan w:val="3"/>
            <w:tcBorders>
              <w:left w:val="nil"/>
              <w:right w:val="nil"/>
            </w:tcBorders>
          </w:tcPr>
          <w:p w:rsidR="005C6EB5" w:rsidRDefault="005C6EB5" w:rsidP="00920824">
            <w:pPr>
              <w:autoSpaceDE w:val="0"/>
              <w:autoSpaceDN w:val="0"/>
              <w:adjustRightInd w:val="0"/>
              <w:rPr>
                <w:rFonts w:ascii="Times New Roman" w:hAnsi="Times New Roman" w:cs="Times New Roman"/>
                <w:sz w:val="24"/>
                <w:szCs w:val="24"/>
              </w:rPr>
            </w:pPr>
          </w:p>
        </w:tc>
      </w:tr>
      <w:tr w:rsidR="005C6EB5" w:rsidTr="005C6EB5">
        <w:tc>
          <w:tcPr>
            <w:tcW w:w="997" w:type="dxa"/>
          </w:tcPr>
          <w:p w:rsidR="005C6EB5" w:rsidRPr="00112CC9" w:rsidRDefault="005C6EB5" w:rsidP="00843B9F">
            <w:pPr>
              <w:autoSpaceDE w:val="0"/>
              <w:autoSpaceDN w:val="0"/>
              <w:adjustRightInd w:val="0"/>
              <w:rPr>
                <w:rFonts w:ascii="Times New Roman" w:hAnsi="Times New Roman" w:cs="Times New Roman"/>
                <w:sz w:val="24"/>
                <w:szCs w:val="24"/>
                <w:lang w:val="en-US"/>
              </w:rPr>
            </w:pPr>
            <m:oMathPara>
              <m:oMath>
                <m:r>
                  <w:rPr>
                    <w:rFonts w:ascii="Cambria Math" w:hAnsi="Cambria Math" w:cs="Times New Roman"/>
                    <w:sz w:val="24"/>
                    <w:szCs w:val="24"/>
                    <w:lang w:val="en-US"/>
                  </w:rPr>
                  <m:t>≥55 %</m:t>
                </m:r>
              </m:oMath>
            </m:oMathPara>
          </w:p>
        </w:tc>
        <w:tc>
          <w:tcPr>
            <w:tcW w:w="2171" w:type="dxa"/>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befriedigend minus</w:t>
            </w:r>
          </w:p>
        </w:tc>
        <w:tc>
          <w:tcPr>
            <w:tcW w:w="900" w:type="dxa"/>
          </w:tcPr>
          <w:p w:rsidR="005C6EB5" w:rsidRDefault="005C6EB5" w:rsidP="0092082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40" w:type="dxa"/>
            <w:vMerge/>
            <w:tcBorders>
              <w:bottom w:val="nil"/>
            </w:tcBorders>
          </w:tcPr>
          <w:p w:rsidR="005C6EB5" w:rsidRDefault="005C6EB5" w:rsidP="00920824">
            <w:pPr>
              <w:autoSpaceDE w:val="0"/>
              <w:autoSpaceDN w:val="0"/>
              <w:adjustRightInd w:val="0"/>
              <w:rPr>
                <w:rFonts w:ascii="Times New Roman" w:eastAsia="Calibri" w:hAnsi="Times New Roman" w:cs="Times New Roman"/>
                <w:sz w:val="24"/>
                <w:szCs w:val="24"/>
              </w:rPr>
            </w:pPr>
          </w:p>
        </w:tc>
        <w:tc>
          <w:tcPr>
            <w:tcW w:w="1080" w:type="dxa"/>
          </w:tcPr>
          <w:p w:rsidR="005C6EB5" w:rsidRDefault="005C6EB5" w:rsidP="00920824">
            <w:pPr>
              <w:autoSpaceDE w:val="0"/>
              <w:autoSpaceDN w:val="0"/>
              <w:adjustRightInd w:val="0"/>
              <w:rPr>
                <w:rFonts w:ascii="Times New Roman" w:hAnsi="Times New Roman" w:cs="Times New Roman"/>
                <w:sz w:val="24"/>
                <w:szCs w:val="24"/>
              </w:rPr>
            </w:pPr>
            <m:oMathPara>
              <m:oMath>
                <m:r>
                  <w:rPr>
                    <w:rFonts w:ascii="Cambria Math" w:hAnsi="Cambria Math" w:cs="Times New Roman"/>
                    <w:sz w:val="24"/>
                    <w:szCs w:val="24"/>
                  </w:rPr>
                  <m:t>&lt;20%</m:t>
                </m:r>
              </m:oMath>
            </m:oMathPara>
          </w:p>
        </w:tc>
        <w:tc>
          <w:tcPr>
            <w:tcW w:w="2166" w:type="dxa"/>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ungenügend</w:t>
            </w:r>
          </w:p>
        </w:tc>
        <w:tc>
          <w:tcPr>
            <w:tcW w:w="894" w:type="dxa"/>
          </w:tcPr>
          <w:p w:rsidR="005C6EB5" w:rsidRDefault="005C6EB5" w:rsidP="009208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p>
        </w:tc>
      </w:tr>
    </w:tbl>
    <w:p w:rsidR="00C35FAD" w:rsidRDefault="00C35FAD" w:rsidP="00C35FAD">
      <w:pPr>
        <w:autoSpaceDE w:val="0"/>
        <w:autoSpaceDN w:val="0"/>
        <w:adjustRightInd w:val="0"/>
        <w:spacing w:after="0" w:line="240" w:lineRule="auto"/>
        <w:ind w:left="540"/>
        <w:jc w:val="both"/>
        <w:rPr>
          <w:rFonts w:ascii="Times New Roman" w:hAnsi="Times New Roman" w:cs="Times New Roman"/>
          <w:sz w:val="24"/>
          <w:szCs w:val="24"/>
        </w:rPr>
      </w:pPr>
    </w:p>
    <w:p w:rsidR="00C35FAD" w:rsidRPr="00C35FAD" w:rsidRDefault="00C35FAD" w:rsidP="00C35FAD">
      <w:pPr>
        <w:pStyle w:val="Listenabsatz"/>
        <w:numPr>
          <w:ilvl w:val="0"/>
          <w:numId w:val="8"/>
        </w:numPr>
        <w:autoSpaceDE w:val="0"/>
        <w:autoSpaceDN w:val="0"/>
        <w:adjustRightInd w:val="0"/>
        <w:spacing w:after="0" w:line="240" w:lineRule="auto"/>
        <w:ind w:left="540" w:hanging="180"/>
        <w:rPr>
          <w:rFonts w:ascii="Times New Roman" w:hAnsi="Times New Roman" w:cs="Times New Roman"/>
          <w:sz w:val="24"/>
          <w:szCs w:val="24"/>
        </w:rPr>
      </w:pPr>
      <w:r w:rsidRPr="00C35FAD">
        <w:rPr>
          <w:rFonts w:ascii="Times New Roman" w:hAnsi="Times New Roman" w:cs="Times New Roman"/>
          <w:b/>
          <w:bCs/>
          <w:sz w:val="24"/>
          <w:szCs w:val="24"/>
        </w:rPr>
        <w:t>Beurteilungsbereich „sonstige Mitarbeit“</w:t>
      </w:r>
    </w:p>
    <w:p w:rsidR="00C35FAD" w:rsidRPr="00C35FAD" w:rsidRDefault="00C35FAD" w:rsidP="00C35FAD">
      <w:pPr>
        <w:autoSpaceDE w:val="0"/>
        <w:autoSpaceDN w:val="0"/>
        <w:adjustRightInd w:val="0"/>
        <w:spacing w:after="0" w:line="240" w:lineRule="auto"/>
        <w:ind w:left="540"/>
        <w:jc w:val="both"/>
        <w:rPr>
          <w:rFonts w:ascii="Times New Roman" w:hAnsi="Times New Roman" w:cs="Times New Roman"/>
          <w:sz w:val="24"/>
          <w:szCs w:val="24"/>
        </w:rPr>
      </w:pPr>
      <w:r w:rsidRPr="00C35FAD">
        <w:rPr>
          <w:rFonts w:ascii="Times New Roman" w:hAnsi="Times New Roman" w:cs="Times New Roman"/>
          <w:sz w:val="24"/>
          <w:szCs w:val="24"/>
        </w:rPr>
        <w:t>Wesentliche Bestandteile des Beurteilungsbereichs „Sonstige Mitarbeit“ sind die Qual</w:t>
      </w:r>
      <w:r w:rsidRPr="00C35FAD">
        <w:rPr>
          <w:rFonts w:ascii="Times New Roman" w:hAnsi="Times New Roman" w:cs="Times New Roman"/>
          <w:sz w:val="24"/>
          <w:szCs w:val="24"/>
        </w:rPr>
        <w:t>i</w:t>
      </w:r>
      <w:r w:rsidRPr="00C35FAD">
        <w:rPr>
          <w:rFonts w:ascii="Times New Roman" w:hAnsi="Times New Roman" w:cs="Times New Roman"/>
          <w:sz w:val="24"/>
          <w:szCs w:val="24"/>
        </w:rPr>
        <w:t>tät und die Kontinuität der Beiträge zum Unterrichtsgeschehen.</w:t>
      </w:r>
      <w:r w:rsidR="003A62F4">
        <w:rPr>
          <w:rFonts w:ascii="Times New Roman" w:hAnsi="Times New Roman" w:cs="Times New Roman"/>
          <w:sz w:val="24"/>
          <w:szCs w:val="24"/>
        </w:rPr>
        <w:t xml:space="preserve"> Diese Beiträge umfassen </w:t>
      </w:r>
      <w:r w:rsidRPr="00C35FAD">
        <w:rPr>
          <w:rFonts w:ascii="Times New Roman" w:hAnsi="Times New Roman" w:cs="Times New Roman"/>
          <w:sz w:val="24"/>
          <w:szCs w:val="24"/>
        </w:rPr>
        <w:t xml:space="preserve"> mündliche und schriftliche Formen in enger Bindung an die Aufgabenstellung,</w:t>
      </w:r>
      <w:r>
        <w:rPr>
          <w:rFonts w:ascii="Times New Roman" w:hAnsi="Times New Roman" w:cs="Times New Roman"/>
          <w:sz w:val="24"/>
          <w:szCs w:val="24"/>
        </w:rPr>
        <w:t xml:space="preserve"> </w:t>
      </w:r>
      <w:r w:rsidRPr="00C35FAD">
        <w:rPr>
          <w:rFonts w:ascii="Times New Roman" w:hAnsi="Times New Roman" w:cs="Times New Roman"/>
          <w:sz w:val="24"/>
          <w:szCs w:val="24"/>
        </w:rPr>
        <w:t>das An</w:t>
      </w:r>
      <w:r w:rsidR="003A62F4">
        <w:rPr>
          <w:rFonts w:ascii="Times New Roman" w:hAnsi="Times New Roman" w:cs="Times New Roman"/>
          <w:sz w:val="24"/>
          <w:szCs w:val="24"/>
        </w:rPr>
        <w:softHyphen/>
      </w:r>
      <w:r w:rsidRPr="00C35FAD">
        <w:rPr>
          <w:rFonts w:ascii="Times New Roman" w:hAnsi="Times New Roman" w:cs="Times New Roman"/>
          <w:sz w:val="24"/>
          <w:szCs w:val="24"/>
        </w:rPr>
        <w:t>s</w:t>
      </w:r>
      <w:r w:rsidRPr="00C35FAD">
        <w:rPr>
          <w:rFonts w:ascii="Times New Roman" w:hAnsi="Times New Roman" w:cs="Times New Roman"/>
          <w:sz w:val="24"/>
          <w:szCs w:val="24"/>
        </w:rPr>
        <w:t>pruchsniveau und die zu erreichenden Kompetenzen der jeweiligen Unterrichts</w:t>
      </w:r>
      <w:r>
        <w:rPr>
          <w:rFonts w:ascii="Times New Roman" w:hAnsi="Times New Roman" w:cs="Times New Roman"/>
          <w:sz w:val="24"/>
          <w:szCs w:val="24"/>
        </w:rPr>
        <w:t>einheit</w:t>
      </w:r>
      <w:r w:rsidRPr="00C35FAD">
        <w:rPr>
          <w:rFonts w:ascii="Times New Roman" w:hAnsi="Times New Roman" w:cs="Times New Roman"/>
          <w:sz w:val="24"/>
          <w:szCs w:val="24"/>
        </w:rPr>
        <w:t>.</w:t>
      </w:r>
      <w:r>
        <w:rPr>
          <w:rFonts w:ascii="Times New Roman" w:hAnsi="Times New Roman" w:cs="Times New Roman"/>
          <w:sz w:val="24"/>
          <w:szCs w:val="24"/>
        </w:rPr>
        <w:t xml:space="preserve"> </w:t>
      </w:r>
      <w:r w:rsidRPr="00C35FAD">
        <w:rPr>
          <w:rFonts w:ascii="Times New Roman" w:hAnsi="Times New Roman" w:cs="Times New Roman"/>
          <w:sz w:val="24"/>
          <w:szCs w:val="24"/>
        </w:rPr>
        <w:t xml:space="preserve">Folgende Bereiche </w:t>
      </w:r>
      <w:r w:rsidRPr="00C35FAD">
        <w:rPr>
          <w:rFonts w:ascii="Times New Roman" w:hAnsi="Times New Roman" w:cs="Times New Roman"/>
          <w:b/>
          <w:bCs/>
          <w:sz w:val="24"/>
          <w:szCs w:val="24"/>
        </w:rPr>
        <w:t xml:space="preserve">müssen </w:t>
      </w:r>
      <w:r w:rsidRPr="00C35FAD">
        <w:rPr>
          <w:rFonts w:ascii="Times New Roman" w:hAnsi="Times New Roman" w:cs="Times New Roman"/>
          <w:sz w:val="24"/>
          <w:szCs w:val="24"/>
        </w:rPr>
        <w:t xml:space="preserve">dabei </w:t>
      </w:r>
      <w:r w:rsidRPr="00C35FAD">
        <w:rPr>
          <w:rFonts w:ascii="Times New Roman" w:hAnsi="Times New Roman" w:cs="Times New Roman"/>
          <w:b/>
          <w:bCs/>
          <w:sz w:val="24"/>
          <w:szCs w:val="24"/>
        </w:rPr>
        <w:t xml:space="preserve">verpflichtend </w:t>
      </w:r>
      <w:r w:rsidRPr="00C35FAD">
        <w:rPr>
          <w:rFonts w:ascii="Times New Roman" w:hAnsi="Times New Roman" w:cs="Times New Roman"/>
          <w:sz w:val="24"/>
          <w:szCs w:val="24"/>
        </w:rPr>
        <w:t>in die Bewertung der sonstigen Mita</w:t>
      </w:r>
      <w:r w:rsidRPr="00C35FAD">
        <w:rPr>
          <w:rFonts w:ascii="Times New Roman" w:hAnsi="Times New Roman" w:cs="Times New Roman"/>
          <w:sz w:val="24"/>
          <w:szCs w:val="24"/>
        </w:rPr>
        <w:t>r</w:t>
      </w:r>
      <w:r w:rsidRPr="00C35FAD">
        <w:rPr>
          <w:rFonts w:ascii="Times New Roman" w:hAnsi="Times New Roman" w:cs="Times New Roman"/>
          <w:sz w:val="24"/>
          <w:szCs w:val="24"/>
        </w:rPr>
        <w:t>beit einfließen:</w:t>
      </w:r>
    </w:p>
    <w:p w:rsidR="00C35FAD" w:rsidRDefault="00C35FAD" w:rsidP="008E3A70">
      <w:pPr>
        <w:pStyle w:val="Listenabsatz"/>
        <w:numPr>
          <w:ilvl w:val="1"/>
          <w:numId w:val="12"/>
        </w:numPr>
        <w:autoSpaceDE w:val="0"/>
        <w:autoSpaceDN w:val="0"/>
        <w:adjustRightInd w:val="0"/>
        <w:spacing w:after="0" w:line="240" w:lineRule="auto"/>
        <w:ind w:left="900"/>
        <w:jc w:val="both"/>
        <w:rPr>
          <w:rFonts w:ascii="Times New Roman" w:hAnsi="Times New Roman" w:cs="Times New Roman"/>
          <w:sz w:val="24"/>
          <w:szCs w:val="24"/>
        </w:rPr>
      </w:pPr>
      <w:r w:rsidRPr="00C35FAD">
        <w:rPr>
          <w:rFonts w:ascii="Times New Roman" w:hAnsi="Times New Roman" w:cs="Times New Roman"/>
          <w:b/>
          <w:bCs/>
          <w:sz w:val="24"/>
          <w:szCs w:val="24"/>
        </w:rPr>
        <w:t xml:space="preserve">mündliche Beiträge: </w:t>
      </w:r>
      <w:r w:rsidRPr="00C35FAD">
        <w:rPr>
          <w:rFonts w:ascii="Times New Roman" w:hAnsi="Times New Roman" w:cs="Times New Roman"/>
          <w:sz w:val="24"/>
          <w:szCs w:val="24"/>
        </w:rPr>
        <w:t>Beiträge zum Unterrichtsgespräch in Form von Lösungsvo</w:t>
      </w:r>
      <w:r w:rsidRPr="00C35FAD">
        <w:rPr>
          <w:rFonts w:ascii="Times New Roman" w:hAnsi="Times New Roman" w:cs="Times New Roman"/>
          <w:sz w:val="24"/>
          <w:szCs w:val="24"/>
        </w:rPr>
        <w:t>r</w:t>
      </w:r>
      <w:r w:rsidRPr="00C35FAD">
        <w:rPr>
          <w:rFonts w:ascii="Times New Roman" w:hAnsi="Times New Roman" w:cs="Times New Roman"/>
          <w:sz w:val="24"/>
          <w:szCs w:val="24"/>
        </w:rPr>
        <w:t>schlägen, das Aufzeigen von Zusammenhängen und Widersprüchen, Plausibilität</w:t>
      </w:r>
      <w:r w:rsidRPr="00C35FAD">
        <w:rPr>
          <w:rFonts w:ascii="Times New Roman" w:hAnsi="Times New Roman" w:cs="Times New Roman"/>
          <w:sz w:val="24"/>
          <w:szCs w:val="24"/>
        </w:rPr>
        <w:t>s</w:t>
      </w:r>
      <w:r w:rsidRPr="00C35FAD">
        <w:rPr>
          <w:rFonts w:ascii="Times New Roman" w:hAnsi="Times New Roman" w:cs="Times New Roman"/>
          <w:sz w:val="24"/>
          <w:szCs w:val="24"/>
        </w:rPr>
        <w:t>betrachtungen oder das Bewerten von Ergebnissen. Hierbei geht es nicht nur darum konkrete Antworten zu liefern, sondern vielmehr auch um das Stellen von Fragen nach Nichtverstandenem und Unklarem sowie um Fragen,</w:t>
      </w:r>
      <w:r>
        <w:rPr>
          <w:rFonts w:ascii="Times New Roman" w:hAnsi="Times New Roman" w:cs="Times New Roman"/>
          <w:sz w:val="24"/>
          <w:szCs w:val="24"/>
        </w:rPr>
        <w:t xml:space="preserve"> </w:t>
      </w:r>
      <w:r w:rsidRPr="00C35FAD">
        <w:rPr>
          <w:rFonts w:ascii="Times New Roman" w:hAnsi="Times New Roman" w:cs="Times New Roman"/>
          <w:sz w:val="24"/>
          <w:szCs w:val="24"/>
        </w:rPr>
        <w:t>die den Unterricht we</w:t>
      </w:r>
      <w:r w:rsidRPr="00C35FAD">
        <w:rPr>
          <w:rFonts w:ascii="Times New Roman" w:hAnsi="Times New Roman" w:cs="Times New Roman"/>
          <w:sz w:val="24"/>
          <w:szCs w:val="24"/>
        </w:rPr>
        <w:t>i</w:t>
      </w:r>
      <w:r w:rsidRPr="00C35FAD">
        <w:rPr>
          <w:rFonts w:ascii="Times New Roman" w:hAnsi="Times New Roman" w:cs="Times New Roman"/>
          <w:sz w:val="24"/>
          <w:szCs w:val="24"/>
        </w:rPr>
        <w:t>terbringen und durch wichtige ergänzende Aspekte vertiefen.</w:t>
      </w:r>
    </w:p>
    <w:p w:rsidR="004A7ED8" w:rsidRPr="00C35FAD" w:rsidRDefault="00C35FAD" w:rsidP="008E3A70">
      <w:pPr>
        <w:pStyle w:val="Listenabsatz"/>
        <w:numPr>
          <w:ilvl w:val="1"/>
          <w:numId w:val="12"/>
        </w:numPr>
        <w:autoSpaceDE w:val="0"/>
        <w:autoSpaceDN w:val="0"/>
        <w:adjustRightInd w:val="0"/>
        <w:spacing w:after="0" w:line="240" w:lineRule="auto"/>
        <w:ind w:left="900"/>
        <w:jc w:val="both"/>
        <w:rPr>
          <w:rFonts w:ascii="Times New Roman" w:hAnsi="Times New Roman" w:cs="Times New Roman"/>
          <w:sz w:val="20"/>
          <w:szCs w:val="20"/>
        </w:rPr>
      </w:pPr>
      <w:r w:rsidRPr="00C35FAD">
        <w:rPr>
          <w:rFonts w:ascii="Times New Roman" w:hAnsi="Times New Roman" w:cs="Times New Roman"/>
          <w:b/>
          <w:bCs/>
          <w:sz w:val="24"/>
          <w:szCs w:val="24"/>
        </w:rPr>
        <w:t xml:space="preserve">schriftliche Beiträge: </w:t>
      </w:r>
      <w:r w:rsidRPr="00C35FAD">
        <w:rPr>
          <w:rFonts w:ascii="Times New Roman" w:hAnsi="Times New Roman" w:cs="Times New Roman"/>
          <w:sz w:val="24"/>
          <w:szCs w:val="24"/>
        </w:rPr>
        <w:t>Beiträge zum Unterrichtsgeschehen durch die Bearbeitung gestellter Aufgaben in dem vorgesehenen</w:t>
      </w:r>
      <w:r>
        <w:rPr>
          <w:rFonts w:ascii="Times New Roman" w:hAnsi="Times New Roman" w:cs="Times New Roman"/>
          <w:sz w:val="24"/>
          <w:szCs w:val="24"/>
        </w:rPr>
        <w:t xml:space="preserve"> </w:t>
      </w:r>
      <w:r w:rsidRPr="00C35FAD">
        <w:rPr>
          <w:rFonts w:ascii="Times New Roman" w:hAnsi="Times New Roman" w:cs="Times New Roman"/>
          <w:sz w:val="24"/>
          <w:szCs w:val="24"/>
        </w:rPr>
        <w:t>Zeitrahmen sowie strukturierte Darste</w:t>
      </w:r>
      <w:r w:rsidRPr="00C35FAD">
        <w:rPr>
          <w:rFonts w:ascii="Times New Roman" w:hAnsi="Times New Roman" w:cs="Times New Roman"/>
          <w:sz w:val="24"/>
          <w:szCs w:val="24"/>
        </w:rPr>
        <w:t>l</w:t>
      </w:r>
      <w:r w:rsidRPr="00C35FAD">
        <w:rPr>
          <w:rFonts w:ascii="Times New Roman" w:hAnsi="Times New Roman" w:cs="Times New Roman"/>
          <w:sz w:val="24"/>
          <w:szCs w:val="24"/>
        </w:rPr>
        <w:t>lung und Präsentation der Ergebnisse</w:t>
      </w:r>
    </w:p>
    <w:p w:rsidR="00C35FAD" w:rsidRPr="00C35FAD" w:rsidRDefault="00C35FAD" w:rsidP="008E3A70">
      <w:pPr>
        <w:pStyle w:val="Listenabsatz"/>
        <w:numPr>
          <w:ilvl w:val="1"/>
          <w:numId w:val="12"/>
        </w:numPr>
        <w:autoSpaceDE w:val="0"/>
        <w:autoSpaceDN w:val="0"/>
        <w:adjustRightInd w:val="0"/>
        <w:spacing w:after="0" w:line="240" w:lineRule="auto"/>
        <w:ind w:left="900"/>
        <w:jc w:val="both"/>
        <w:rPr>
          <w:rFonts w:ascii="Times New Roman" w:hAnsi="Times New Roman" w:cs="Times New Roman"/>
          <w:sz w:val="24"/>
          <w:szCs w:val="24"/>
        </w:rPr>
      </w:pPr>
      <w:r w:rsidRPr="00C35FAD">
        <w:rPr>
          <w:rFonts w:ascii="Times New Roman" w:hAnsi="Times New Roman" w:cs="Times New Roman"/>
          <w:b/>
          <w:bCs/>
          <w:sz w:val="24"/>
          <w:szCs w:val="24"/>
        </w:rPr>
        <w:t xml:space="preserve">selbstständige Arbeit im Unterricht: </w:t>
      </w:r>
      <w:r w:rsidRPr="00C35FAD">
        <w:rPr>
          <w:rFonts w:ascii="Times New Roman" w:hAnsi="Times New Roman" w:cs="Times New Roman"/>
          <w:sz w:val="24"/>
          <w:szCs w:val="24"/>
        </w:rPr>
        <w:t xml:space="preserve">Engagement, Kooperationsfähigkeit und </w:t>
      </w:r>
      <w:r>
        <w:rPr>
          <w:rFonts w:ascii="Times New Roman" w:hAnsi="Times New Roman" w:cs="Times New Roman"/>
          <w:sz w:val="24"/>
          <w:szCs w:val="24"/>
        </w:rPr>
        <w:t>Z</w:t>
      </w:r>
      <w:r w:rsidRPr="00C35FAD">
        <w:rPr>
          <w:rFonts w:ascii="Times New Roman" w:hAnsi="Times New Roman" w:cs="Times New Roman"/>
          <w:sz w:val="24"/>
          <w:szCs w:val="24"/>
        </w:rPr>
        <w:t>iel</w:t>
      </w:r>
      <w:r w:rsidR="008E3A70">
        <w:rPr>
          <w:rFonts w:ascii="Times New Roman" w:hAnsi="Times New Roman" w:cs="Times New Roman"/>
          <w:sz w:val="24"/>
          <w:szCs w:val="24"/>
        </w:rPr>
        <w:softHyphen/>
      </w:r>
      <w:r w:rsidRPr="00C35FAD">
        <w:rPr>
          <w:rFonts w:ascii="Times New Roman" w:hAnsi="Times New Roman" w:cs="Times New Roman"/>
          <w:sz w:val="24"/>
          <w:szCs w:val="24"/>
        </w:rPr>
        <w:t>strebigkeit bei der Bearbeitung mathematischer Problemstellungen in allen Soz</w:t>
      </w:r>
      <w:r w:rsidRPr="00C35FAD">
        <w:rPr>
          <w:rFonts w:ascii="Times New Roman" w:hAnsi="Times New Roman" w:cs="Times New Roman"/>
          <w:sz w:val="24"/>
          <w:szCs w:val="24"/>
        </w:rPr>
        <w:t>i</w:t>
      </w:r>
      <w:r w:rsidRPr="00C35FAD">
        <w:rPr>
          <w:rFonts w:ascii="Times New Roman" w:hAnsi="Times New Roman" w:cs="Times New Roman"/>
          <w:sz w:val="24"/>
          <w:szCs w:val="24"/>
        </w:rPr>
        <w:t>alformen und mit allen Medien während der Unterrichtsstunde. Voraussetzung hie</w:t>
      </w:r>
      <w:r w:rsidRPr="00C35FAD">
        <w:rPr>
          <w:rFonts w:ascii="Times New Roman" w:hAnsi="Times New Roman" w:cs="Times New Roman"/>
          <w:sz w:val="24"/>
          <w:szCs w:val="24"/>
        </w:rPr>
        <w:t>r</w:t>
      </w:r>
      <w:r w:rsidRPr="00C35FAD">
        <w:rPr>
          <w:rFonts w:ascii="Times New Roman" w:hAnsi="Times New Roman" w:cs="Times New Roman"/>
          <w:sz w:val="24"/>
          <w:szCs w:val="24"/>
        </w:rPr>
        <w:t>für ist insbesondere, dass eigene erforderliche Unterrichtsmaterialien, zu denen auch die regelmäßig anzufertigen</w:t>
      </w:r>
      <w:r w:rsidR="00843B9F">
        <w:rPr>
          <w:rFonts w:ascii="Times New Roman" w:hAnsi="Times New Roman" w:cs="Times New Roman"/>
          <w:sz w:val="24"/>
          <w:szCs w:val="24"/>
        </w:rPr>
        <w:t>den</w:t>
      </w:r>
      <w:r w:rsidRPr="00C35FAD">
        <w:rPr>
          <w:rFonts w:ascii="Times New Roman" w:hAnsi="Times New Roman" w:cs="Times New Roman"/>
          <w:sz w:val="24"/>
          <w:szCs w:val="24"/>
        </w:rPr>
        <w:t xml:space="preserve"> Hausaufgaben</w:t>
      </w:r>
      <w:r w:rsidRPr="00C35FAD">
        <w:rPr>
          <w:rFonts w:ascii="Times New Roman" w:hAnsi="Times New Roman" w:cs="Times New Roman"/>
          <w:sz w:val="16"/>
          <w:szCs w:val="16"/>
        </w:rPr>
        <w:t xml:space="preserve"> </w:t>
      </w:r>
      <w:r w:rsidRPr="00C35FAD">
        <w:rPr>
          <w:rFonts w:ascii="Times New Roman" w:hAnsi="Times New Roman" w:cs="Times New Roman"/>
          <w:sz w:val="24"/>
          <w:szCs w:val="24"/>
        </w:rPr>
        <w:t>zählen,</w:t>
      </w:r>
      <w:r>
        <w:rPr>
          <w:rFonts w:ascii="Times New Roman" w:hAnsi="Times New Roman" w:cs="Times New Roman"/>
          <w:sz w:val="24"/>
          <w:szCs w:val="24"/>
        </w:rPr>
        <w:t xml:space="preserve"> </w:t>
      </w:r>
      <w:r w:rsidRPr="00C35FAD">
        <w:rPr>
          <w:rFonts w:ascii="Times New Roman" w:hAnsi="Times New Roman" w:cs="Times New Roman"/>
          <w:sz w:val="24"/>
          <w:szCs w:val="24"/>
        </w:rPr>
        <w:t>verfügbar sind.</w:t>
      </w:r>
      <w:r w:rsidR="008E3A70">
        <w:rPr>
          <w:rFonts w:ascii="Times New Roman" w:hAnsi="Times New Roman" w:cs="Times New Roman"/>
          <w:sz w:val="24"/>
          <w:szCs w:val="24"/>
        </w:rPr>
        <w:tab/>
      </w:r>
      <w:r>
        <w:rPr>
          <w:rFonts w:ascii="Times New Roman" w:hAnsi="Times New Roman" w:cs="Times New Roman"/>
          <w:sz w:val="24"/>
          <w:szCs w:val="24"/>
        </w:rPr>
        <w:br/>
      </w:r>
    </w:p>
    <w:p w:rsidR="00C35FAD" w:rsidRPr="00C35FAD" w:rsidRDefault="00C35FAD" w:rsidP="00C35FAD">
      <w:pPr>
        <w:autoSpaceDE w:val="0"/>
        <w:autoSpaceDN w:val="0"/>
        <w:adjustRightInd w:val="0"/>
        <w:spacing w:after="0" w:line="240" w:lineRule="auto"/>
        <w:jc w:val="both"/>
        <w:rPr>
          <w:rFonts w:ascii="Times New Roman" w:hAnsi="Times New Roman" w:cs="Times New Roman"/>
          <w:sz w:val="24"/>
          <w:szCs w:val="24"/>
        </w:rPr>
      </w:pPr>
      <w:r w:rsidRPr="00C35FAD">
        <w:rPr>
          <w:rFonts w:ascii="Times New Roman" w:hAnsi="Times New Roman" w:cs="Times New Roman"/>
          <w:sz w:val="24"/>
          <w:szCs w:val="24"/>
        </w:rPr>
        <w:t xml:space="preserve">Folgende Bereiche </w:t>
      </w:r>
      <w:r w:rsidRPr="00C35FAD">
        <w:rPr>
          <w:rFonts w:ascii="Times New Roman" w:hAnsi="Times New Roman" w:cs="Times New Roman"/>
          <w:b/>
          <w:bCs/>
          <w:sz w:val="24"/>
          <w:szCs w:val="24"/>
        </w:rPr>
        <w:t xml:space="preserve">können </w:t>
      </w:r>
      <w:r w:rsidRPr="00C35FAD">
        <w:rPr>
          <w:rFonts w:ascii="Times New Roman" w:hAnsi="Times New Roman" w:cs="Times New Roman"/>
          <w:sz w:val="24"/>
          <w:szCs w:val="24"/>
        </w:rPr>
        <w:t xml:space="preserve">darüber hinaus </w:t>
      </w:r>
      <w:r w:rsidRPr="00C35FAD">
        <w:rPr>
          <w:rFonts w:ascii="Times New Roman" w:hAnsi="Times New Roman" w:cs="Times New Roman"/>
          <w:b/>
          <w:bCs/>
          <w:sz w:val="24"/>
          <w:szCs w:val="24"/>
        </w:rPr>
        <w:t xml:space="preserve">aufgrund pädagogischer Überlegungen </w:t>
      </w:r>
      <w:r w:rsidRPr="00C35FAD">
        <w:rPr>
          <w:rFonts w:ascii="Times New Roman" w:hAnsi="Times New Roman" w:cs="Times New Roman"/>
          <w:sz w:val="24"/>
          <w:szCs w:val="24"/>
        </w:rPr>
        <w:t>der Lehrkraft in die Bewertung der sonstigen Mitarbeit</w:t>
      </w:r>
      <w:r>
        <w:rPr>
          <w:rFonts w:ascii="Times New Roman" w:hAnsi="Times New Roman" w:cs="Times New Roman"/>
          <w:sz w:val="24"/>
          <w:szCs w:val="24"/>
        </w:rPr>
        <w:t xml:space="preserve"> </w:t>
      </w:r>
      <w:r w:rsidRPr="00C35FAD">
        <w:rPr>
          <w:rFonts w:ascii="Times New Roman" w:hAnsi="Times New Roman" w:cs="Times New Roman"/>
          <w:sz w:val="24"/>
          <w:szCs w:val="24"/>
        </w:rPr>
        <w:t>einfließen, wobei deren Gewichtung dem Ermessen der betreffenden Lehrkräfte im Rahmen der rechtlichen und curricularen Vorgaben</w:t>
      </w:r>
    </w:p>
    <w:p w:rsidR="00C35FAD" w:rsidRDefault="00C35FAD" w:rsidP="00C35FAD">
      <w:pPr>
        <w:autoSpaceDE w:val="0"/>
        <w:autoSpaceDN w:val="0"/>
        <w:adjustRightInd w:val="0"/>
        <w:spacing w:after="0" w:line="240" w:lineRule="auto"/>
        <w:jc w:val="both"/>
        <w:rPr>
          <w:rFonts w:ascii="Times New Roman" w:hAnsi="Times New Roman" w:cs="Times New Roman"/>
          <w:sz w:val="24"/>
          <w:szCs w:val="24"/>
        </w:rPr>
      </w:pPr>
      <w:r w:rsidRPr="00C35FAD">
        <w:rPr>
          <w:rFonts w:ascii="Times New Roman" w:hAnsi="Times New Roman" w:cs="Times New Roman"/>
          <w:sz w:val="24"/>
          <w:szCs w:val="24"/>
        </w:rPr>
        <w:t>überlassen bleibt:</w:t>
      </w:r>
    </w:p>
    <w:p w:rsidR="00C35FAD" w:rsidRDefault="00C35FAD" w:rsidP="00C35FAD">
      <w:pPr>
        <w:pStyle w:val="Listenabsatz"/>
        <w:numPr>
          <w:ilvl w:val="0"/>
          <w:numId w:val="13"/>
        </w:numPr>
        <w:autoSpaceDE w:val="0"/>
        <w:autoSpaceDN w:val="0"/>
        <w:adjustRightInd w:val="0"/>
        <w:spacing w:after="0" w:line="240" w:lineRule="auto"/>
        <w:jc w:val="both"/>
        <w:rPr>
          <w:rFonts w:ascii="Times New Roman" w:hAnsi="Times New Roman" w:cs="Times New Roman"/>
          <w:sz w:val="24"/>
          <w:szCs w:val="24"/>
        </w:rPr>
      </w:pPr>
      <w:r w:rsidRPr="00C35FAD">
        <w:rPr>
          <w:rFonts w:ascii="Times New Roman" w:hAnsi="Times New Roman" w:cs="Times New Roman"/>
          <w:b/>
          <w:bCs/>
          <w:sz w:val="24"/>
          <w:szCs w:val="24"/>
        </w:rPr>
        <w:t xml:space="preserve">Heftführung: </w:t>
      </w:r>
      <w:r w:rsidRPr="00C35FAD">
        <w:rPr>
          <w:rFonts w:ascii="Times New Roman" w:hAnsi="Times New Roman" w:cs="Times New Roman"/>
          <w:sz w:val="24"/>
          <w:szCs w:val="24"/>
        </w:rPr>
        <w:t>Vollständigkeit und Ordnung aller Arbeitsblätter, Mitschriften, Erge</w:t>
      </w:r>
      <w:r w:rsidRPr="00C35FAD">
        <w:rPr>
          <w:rFonts w:ascii="Times New Roman" w:hAnsi="Times New Roman" w:cs="Times New Roman"/>
          <w:sz w:val="24"/>
          <w:szCs w:val="24"/>
        </w:rPr>
        <w:t>b</w:t>
      </w:r>
      <w:r w:rsidRPr="00C35FAD">
        <w:rPr>
          <w:rFonts w:ascii="Times New Roman" w:hAnsi="Times New Roman" w:cs="Times New Roman"/>
          <w:sz w:val="24"/>
          <w:szCs w:val="24"/>
        </w:rPr>
        <w:t>nisse, Regeln, Sätze, Definitionen und Ergebnisse</w:t>
      </w:r>
      <w:r>
        <w:rPr>
          <w:rFonts w:ascii="Times New Roman" w:hAnsi="Times New Roman" w:cs="Times New Roman"/>
          <w:sz w:val="24"/>
          <w:szCs w:val="24"/>
        </w:rPr>
        <w:t xml:space="preserve"> </w:t>
      </w:r>
      <w:r w:rsidRPr="00C35FAD">
        <w:rPr>
          <w:rFonts w:ascii="Times New Roman" w:hAnsi="Times New Roman" w:cs="Times New Roman"/>
          <w:sz w:val="24"/>
          <w:szCs w:val="24"/>
        </w:rPr>
        <w:t xml:space="preserve">des Unterrichts zur Vorbereitung </w:t>
      </w:r>
      <w:r w:rsidRPr="00C35FAD">
        <w:rPr>
          <w:rFonts w:ascii="Times New Roman" w:hAnsi="Times New Roman" w:cs="Times New Roman"/>
          <w:sz w:val="24"/>
          <w:szCs w:val="24"/>
        </w:rPr>
        <w:lastRenderedPageBreak/>
        <w:t>auf Klassenarbeiten. Dieser Beurteilungsbereich sollte vor allem in der Sekundarstufe</w:t>
      </w:r>
      <w:r w:rsidR="00843B9F">
        <w:rPr>
          <w:rFonts w:ascii="Times New Roman" w:hAnsi="Times New Roman" w:cs="Times New Roman"/>
          <w:sz w:val="24"/>
          <w:szCs w:val="24"/>
        </w:rPr>
        <w:t xml:space="preserve"> </w:t>
      </w:r>
      <w:r w:rsidRPr="00C35FAD">
        <w:rPr>
          <w:rFonts w:ascii="Times New Roman" w:hAnsi="Times New Roman" w:cs="Times New Roman"/>
          <w:sz w:val="24"/>
          <w:szCs w:val="24"/>
        </w:rPr>
        <w:t>I Beachtung finden und mit Fortschreiten der Schullaufbahn zunehmend in den Hi</w:t>
      </w:r>
      <w:r w:rsidRPr="00C35FAD">
        <w:rPr>
          <w:rFonts w:ascii="Times New Roman" w:hAnsi="Times New Roman" w:cs="Times New Roman"/>
          <w:sz w:val="24"/>
          <w:szCs w:val="24"/>
        </w:rPr>
        <w:t>n</w:t>
      </w:r>
      <w:r w:rsidRPr="00C35FAD">
        <w:rPr>
          <w:rFonts w:ascii="Times New Roman" w:hAnsi="Times New Roman" w:cs="Times New Roman"/>
          <w:sz w:val="24"/>
          <w:szCs w:val="24"/>
        </w:rPr>
        <w:t>tergrund treten. In der Sekundarstufe II</w:t>
      </w:r>
      <w:r>
        <w:rPr>
          <w:rFonts w:ascii="Times New Roman" w:hAnsi="Times New Roman" w:cs="Times New Roman"/>
          <w:sz w:val="24"/>
          <w:szCs w:val="24"/>
        </w:rPr>
        <w:t xml:space="preserve"> </w:t>
      </w:r>
      <w:r w:rsidRPr="00C35FAD">
        <w:rPr>
          <w:rFonts w:ascii="Times New Roman" w:hAnsi="Times New Roman" w:cs="Times New Roman"/>
          <w:sz w:val="24"/>
          <w:szCs w:val="24"/>
        </w:rPr>
        <w:t>schließlich sollte die Heftführung ausschlie</w:t>
      </w:r>
      <w:r w:rsidRPr="00C35FAD">
        <w:rPr>
          <w:rFonts w:ascii="Times New Roman" w:hAnsi="Times New Roman" w:cs="Times New Roman"/>
          <w:sz w:val="24"/>
          <w:szCs w:val="24"/>
        </w:rPr>
        <w:t>ß</w:t>
      </w:r>
      <w:r w:rsidRPr="00C35FAD">
        <w:rPr>
          <w:rFonts w:ascii="Times New Roman" w:hAnsi="Times New Roman" w:cs="Times New Roman"/>
          <w:sz w:val="24"/>
          <w:szCs w:val="24"/>
        </w:rPr>
        <w:t>lich der Eigenverantwortung der Schülerinnen und Schüler überlassen sein.</w:t>
      </w:r>
    </w:p>
    <w:p w:rsidR="00C35FAD" w:rsidRDefault="00C35FAD" w:rsidP="00C35FAD">
      <w:pPr>
        <w:pStyle w:val="Listenabsatz"/>
        <w:numPr>
          <w:ilvl w:val="0"/>
          <w:numId w:val="13"/>
        </w:numPr>
        <w:autoSpaceDE w:val="0"/>
        <w:autoSpaceDN w:val="0"/>
        <w:adjustRightInd w:val="0"/>
        <w:spacing w:after="0" w:line="240" w:lineRule="auto"/>
        <w:jc w:val="both"/>
        <w:rPr>
          <w:rFonts w:ascii="Times New Roman" w:hAnsi="Times New Roman" w:cs="Times New Roman"/>
          <w:sz w:val="24"/>
          <w:szCs w:val="24"/>
        </w:rPr>
      </w:pPr>
      <w:r w:rsidRPr="00C35FAD">
        <w:rPr>
          <w:rFonts w:ascii="Times New Roman" w:hAnsi="Times New Roman" w:cs="Times New Roman"/>
          <w:b/>
          <w:bCs/>
          <w:sz w:val="24"/>
          <w:szCs w:val="24"/>
        </w:rPr>
        <w:t xml:space="preserve">Schriftliche Übungen: </w:t>
      </w:r>
      <w:r w:rsidRPr="00C35FAD">
        <w:rPr>
          <w:rFonts w:ascii="Times New Roman" w:hAnsi="Times New Roman" w:cs="Times New Roman"/>
          <w:sz w:val="24"/>
          <w:szCs w:val="24"/>
        </w:rPr>
        <w:t>Aufschluss für Schülerinnen und Schüler über bislang erreic</w:t>
      </w:r>
      <w:r w:rsidRPr="00C35FAD">
        <w:rPr>
          <w:rFonts w:ascii="Times New Roman" w:hAnsi="Times New Roman" w:cs="Times New Roman"/>
          <w:sz w:val="24"/>
          <w:szCs w:val="24"/>
        </w:rPr>
        <w:t>h</w:t>
      </w:r>
      <w:r w:rsidRPr="00C35FAD">
        <w:rPr>
          <w:rFonts w:ascii="Times New Roman" w:hAnsi="Times New Roman" w:cs="Times New Roman"/>
          <w:sz w:val="24"/>
          <w:szCs w:val="24"/>
        </w:rPr>
        <w:t>te Lernstände. Die schriftlichen Übungen</w:t>
      </w:r>
      <w:r>
        <w:rPr>
          <w:rFonts w:ascii="Times New Roman" w:hAnsi="Times New Roman" w:cs="Times New Roman"/>
          <w:sz w:val="24"/>
          <w:szCs w:val="24"/>
        </w:rPr>
        <w:t xml:space="preserve"> </w:t>
      </w:r>
      <w:r w:rsidRPr="00C35FAD">
        <w:rPr>
          <w:rFonts w:ascii="Times New Roman" w:hAnsi="Times New Roman" w:cs="Times New Roman"/>
          <w:sz w:val="24"/>
          <w:szCs w:val="24"/>
        </w:rPr>
        <w:t>sollten einen Zeitrahmen von 20 Minuten nicht überschreiten, sind thematisch auf die Inhalte der letzten Unterrichtseinheit zu</w:t>
      </w:r>
      <w:r>
        <w:rPr>
          <w:rFonts w:ascii="Times New Roman" w:hAnsi="Times New Roman" w:cs="Times New Roman"/>
          <w:sz w:val="24"/>
          <w:szCs w:val="24"/>
        </w:rPr>
        <w:t xml:space="preserve"> </w:t>
      </w:r>
      <w:r w:rsidRPr="00C35FAD">
        <w:rPr>
          <w:rFonts w:ascii="Times New Roman" w:hAnsi="Times New Roman" w:cs="Times New Roman"/>
          <w:sz w:val="24"/>
          <w:szCs w:val="24"/>
        </w:rPr>
        <w:t>beziehen und entsprechen in ihrer Gewichtung einem ausführlicheren mündlichen Be</w:t>
      </w:r>
      <w:r w:rsidRPr="00C35FAD">
        <w:rPr>
          <w:rFonts w:ascii="Times New Roman" w:hAnsi="Times New Roman" w:cs="Times New Roman"/>
          <w:sz w:val="24"/>
          <w:szCs w:val="24"/>
        </w:rPr>
        <w:t>i</w:t>
      </w:r>
      <w:r w:rsidRPr="00C35FAD">
        <w:rPr>
          <w:rFonts w:ascii="Times New Roman" w:hAnsi="Times New Roman" w:cs="Times New Roman"/>
          <w:sz w:val="24"/>
          <w:szCs w:val="24"/>
        </w:rPr>
        <w:t>trag zum Unterrichtsgeschehen.</w:t>
      </w:r>
    </w:p>
    <w:p w:rsidR="00C35FAD" w:rsidRDefault="00C35FAD" w:rsidP="00C35FAD">
      <w:pPr>
        <w:pStyle w:val="Listenabsatz"/>
        <w:numPr>
          <w:ilvl w:val="0"/>
          <w:numId w:val="13"/>
        </w:numPr>
        <w:autoSpaceDE w:val="0"/>
        <w:autoSpaceDN w:val="0"/>
        <w:adjustRightInd w:val="0"/>
        <w:spacing w:after="0" w:line="240" w:lineRule="auto"/>
        <w:jc w:val="both"/>
        <w:rPr>
          <w:rFonts w:ascii="Times New Roman" w:hAnsi="Times New Roman" w:cs="Times New Roman"/>
          <w:sz w:val="24"/>
          <w:szCs w:val="24"/>
        </w:rPr>
      </w:pPr>
      <w:r w:rsidRPr="00C35FAD">
        <w:rPr>
          <w:rFonts w:ascii="Times New Roman" w:hAnsi="Times New Roman" w:cs="Times New Roman"/>
          <w:b/>
          <w:bCs/>
          <w:sz w:val="24"/>
          <w:szCs w:val="24"/>
        </w:rPr>
        <w:t xml:space="preserve">Referate und Kurzvorträge: </w:t>
      </w:r>
      <w:r w:rsidRPr="00C35FAD">
        <w:rPr>
          <w:rFonts w:ascii="Times New Roman" w:hAnsi="Times New Roman" w:cs="Times New Roman"/>
          <w:sz w:val="24"/>
          <w:szCs w:val="24"/>
        </w:rPr>
        <w:t>Verteilung an einzelne Schülerinnen und Schüler nach Ermessen der Lehrkraft. Die Themen können</w:t>
      </w:r>
      <w:r>
        <w:rPr>
          <w:rFonts w:ascii="Times New Roman" w:hAnsi="Times New Roman" w:cs="Times New Roman"/>
          <w:sz w:val="24"/>
          <w:szCs w:val="24"/>
        </w:rPr>
        <w:t xml:space="preserve"> </w:t>
      </w:r>
      <w:r w:rsidRPr="00C35FAD">
        <w:rPr>
          <w:rFonts w:ascii="Times New Roman" w:hAnsi="Times New Roman" w:cs="Times New Roman"/>
          <w:sz w:val="24"/>
          <w:szCs w:val="24"/>
        </w:rPr>
        <w:t>aus dem Unterricht erwachsen oder auch über diesen hinausgehen. Bei der Bewertung sind gleichermaßen inhaltliche wie auch</w:t>
      </w:r>
      <w:r>
        <w:rPr>
          <w:rFonts w:ascii="Times New Roman" w:hAnsi="Times New Roman" w:cs="Times New Roman"/>
          <w:sz w:val="24"/>
          <w:szCs w:val="24"/>
        </w:rPr>
        <w:t xml:space="preserve"> </w:t>
      </w:r>
      <w:r w:rsidRPr="00C35FAD">
        <w:rPr>
          <w:rFonts w:ascii="Times New Roman" w:hAnsi="Times New Roman" w:cs="Times New Roman"/>
          <w:sz w:val="24"/>
          <w:szCs w:val="24"/>
        </w:rPr>
        <w:t>formale Aspekte (Verständlichkeit und Flüssigkeit des Vortrags, Aufbereitung und V</w:t>
      </w:r>
      <w:r w:rsidRPr="00C35FAD">
        <w:rPr>
          <w:rFonts w:ascii="Times New Roman" w:hAnsi="Times New Roman" w:cs="Times New Roman"/>
          <w:sz w:val="24"/>
          <w:szCs w:val="24"/>
        </w:rPr>
        <w:t>i</w:t>
      </w:r>
      <w:r w:rsidRPr="00C35FAD">
        <w:rPr>
          <w:rFonts w:ascii="Times New Roman" w:hAnsi="Times New Roman" w:cs="Times New Roman"/>
          <w:sz w:val="24"/>
          <w:szCs w:val="24"/>
        </w:rPr>
        <w:t>sualisierung des Themas, Aktivierung und</w:t>
      </w:r>
      <w:r>
        <w:rPr>
          <w:rFonts w:ascii="Times New Roman" w:hAnsi="Times New Roman" w:cs="Times New Roman"/>
          <w:sz w:val="24"/>
          <w:szCs w:val="24"/>
        </w:rPr>
        <w:t xml:space="preserve"> </w:t>
      </w:r>
      <w:r w:rsidRPr="00C35FAD">
        <w:rPr>
          <w:rFonts w:ascii="Times New Roman" w:hAnsi="Times New Roman" w:cs="Times New Roman"/>
          <w:sz w:val="24"/>
          <w:szCs w:val="24"/>
        </w:rPr>
        <w:t>Einbeziehung der Lerngruppe) zu berüc</w:t>
      </w:r>
      <w:r w:rsidRPr="00C35FAD">
        <w:rPr>
          <w:rFonts w:ascii="Times New Roman" w:hAnsi="Times New Roman" w:cs="Times New Roman"/>
          <w:sz w:val="24"/>
          <w:szCs w:val="24"/>
        </w:rPr>
        <w:t>k</w:t>
      </w:r>
      <w:r w:rsidRPr="00C35FAD">
        <w:rPr>
          <w:rFonts w:ascii="Times New Roman" w:hAnsi="Times New Roman" w:cs="Times New Roman"/>
          <w:sz w:val="24"/>
          <w:szCs w:val="24"/>
        </w:rPr>
        <w:t>sichtigen.</w:t>
      </w:r>
    </w:p>
    <w:p w:rsidR="00C35FAD" w:rsidRDefault="00C35FAD" w:rsidP="00C35FAD">
      <w:pPr>
        <w:pStyle w:val="Listenabsatz"/>
        <w:numPr>
          <w:ilvl w:val="0"/>
          <w:numId w:val="13"/>
        </w:numPr>
        <w:autoSpaceDE w:val="0"/>
        <w:autoSpaceDN w:val="0"/>
        <w:adjustRightInd w:val="0"/>
        <w:spacing w:after="0" w:line="240" w:lineRule="auto"/>
        <w:jc w:val="both"/>
        <w:rPr>
          <w:rFonts w:ascii="Times New Roman" w:hAnsi="Times New Roman" w:cs="Times New Roman"/>
          <w:sz w:val="24"/>
          <w:szCs w:val="24"/>
        </w:rPr>
      </w:pPr>
      <w:r w:rsidRPr="00C35FAD">
        <w:rPr>
          <w:rFonts w:ascii="Times New Roman" w:hAnsi="Times New Roman" w:cs="Times New Roman"/>
          <w:b/>
          <w:bCs/>
          <w:sz w:val="24"/>
          <w:szCs w:val="24"/>
        </w:rPr>
        <w:t xml:space="preserve">Stundenprotokolle: </w:t>
      </w:r>
      <w:r w:rsidRPr="00C35FAD">
        <w:rPr>
          <w:rFonts w:ascii="Times New Roman" w:hAnsi="Times New Roman" w:cs="Times New Roman"/>
          <w:sz w:val="24"/>
          <w:szCs w:val="24"/>
        </w:rPr>
        <w:t>Anfertigung zur Fixierung und Dokumentation der Lernergebni</w:t>
      </w:r>
      <w:r w:rsidRPr="00C35FAD">
        <w:rPr>
          <w:rFonts w:ascii="Times New Roman" w:hAnsi="Times New Roman" w:cs="Times New Roman"/>
          <w:sz w:val="24"/>
          <w:szCs w:val="24"/>
        </w:rPr>
        <w:t>s</w:t>
      </w:r>
      <w:r w:rsidRPr="00C35FAD">
        <w:rPr>
          <w:rFonts w:ascii="Times New Roman" w:hAnsi="Times New Roman" w:cs="Times New Roman"/>
          <w:sz w:val="24"/>
          <w:szCs w:val="24"/>
        </w:rPr>
        <w:t>se als Grundlage für die Nachbereitung des</w:t>
      </w:r>
      <w:r>
        <w:rPr>
          <w:rFonts w:ascii="Times New Roman" w:hAnsi="Times New Roman" w:cs="Times New Roman"/>
          <w:sz w:val="24"/>
          <w:szCs w:val="24"/>
        </w:rPr>
        <w:t xml:space="preserve"> </w:t>
      </w:r>
      <w:r w:rsidRPr="00C35FAD">
        <w:rPr>
          <w:rFonts w:ascii="Times New Roman" w:hAnsi="Times New Roman" w:cs="Times New Roman"/>
          <w:sz w:val="24"/>
          <w:szCs w:val="24"/>
        </w:rPr>
        <w:t>Unterrichts durch abwesende Schülerinnen und Schüler und die Vorbereitung künftiger Leistungsüberprüfungen. Bei der Bewe</w:t>
      </w:r>
      <w:r w:rsidRPr="00C35FAD">
        <w:rPr>
          <w:rFonts w:ascii="Times New Roman" w:hAnsi="Times New Roman" w:cs="Times New Roman"/>
          <w:sz w:val="24"/>
          <w:szCs w:val="24"/>
        </w:rPr>
        <w:t>r</w:t>
      </w:r>
      <w:r w:rsidRPr="00C35FAD">
        <w:rPr>
          <w:rFonts w:ascii="Times New Roman" w:hAnsi="Times New Roman" w:cs="Times New Roman"/>
          <w:sz w:val="24"/>
          <w:szCs w:val="24"/>
        </w:rPr>
        <w:t>tung</w:t>
      </w:r>
      <w:r>
        <w:rPr>
          <w:rFonts w:ascii="Times New Roman" w:hAnsi="Times New Roman" w:cs="Times New Roman"/>
          <w:sz w:val="24"/>
          <w:szCs w:val="24"/>
        </w:rPr>
        <w:t xml:space="preserve"> </w:t>
      </w:r>
      <w:r w:rsidRPr="00C35FAD">
        <w:rPr>
          <w:rFonts w:ascii="Times New Roman" w:hAnsi="Times New Roman" w:cs="Times New Roman"/>
          <w:sz w:val="24"/>
          <w:szCs w:val="24"/>
        </w:rPr>
        <w:t>sind gleichermaßen inhaltliche wie auch formale Aspekte zu berücksichtigen.</w:t>
      </w:r>
    </w:p>
    <w:p w:rsidR="008E3A70" w:rsidRDefault="008E3A70" w:rsidP="008E3A70">
      <w:pPr>
        <w:pStyle w:val="Listenabsatz"/>
        <w:autoSpaceDE w:val="0"/>
        <w:autoSpaceDN w:val="0"/>
        <w:adjustRightInd w:val="0"/>
        <w:spacing w:after="0" w:line="240" w:lineRule="auto"/>
        <w:jc w:val="both"/>
        <w:rPr>
          <w:rFonts w:ascii="Times New Roman" w:hAnsi="Times New Roman" w:cs="Times New Roman"/>
          <w:b/>
          <w:bCs/>
          <w:sz w:val="24"/>
          <w:szCs w:val="24"/>
        </w:rPr>
      </w:pPr>
    </w:p>
    <w:p w:rsidR="008E3A70" w:rsidRDefault="008E3A70" w:rsidP="008E3A70">
      <w:pPr>
        <w:pStyle w:val="Listenabsatz"/>
        <w:autoSpaceDE w:val="0"/>
        <w:autoSpaceDN w:val="0"/>
        <w:adjustRightInd w:val="0"/>
        <w:spacing w:after="0" w:line="240" w:lineRule="auto"/>
        <w:jc w:val="both"/>
        <w:rPr>
          <w:rFonts w:ascii="Times New Roman" w:hAnsi="Times New Roman" w:cs="Times New Roman"/>
          <w:b/>
          <w:bCs/>
          <w:sz w:val="24"/>
          <w:szCs w:val="24"/>
        </w:rPr>
      </w:pPr>
    </w:p>
    <w:p w:rsidR="008E3A70" w:rsidRDefault="008E3A70" w:rsidP="008E3A70">
      <w:pPr>
        <w:pStyle w:val="Listenabsatz"/>
        <w:autoSpaceDE w:val="0"/>
        <w:autoSpaceDN w:val="0"/>
        <w:adjustRightInd w:val="0"/>
        <w:spacing w:after="0" w:line="240" w:lineRule="auto"/>
        <w:jc w:val="both"/>
        <w:rPr>
          <w:rFonts w:ascii="Times New Roman" w:hAnsi="Times New Roman" w:cs="Times New Roman"/>
          <w:b/>
          <w:bCs/>
          <w:sz w:val="24"/>
          <w:szCs w:val="24"/>
        </w:rPr>
      </w:pPr>
    </w:p>
    <w:p w:rsidR="00E2296F" w:rsidRDefault="008E3A70" w:rsidP="008E3A70">
      <w:pPr>
        <w:pStyle w:val="Listenabsatz"/>
        <w:autoSpaceDE w:val="0"/>
        <w:autoSpaceDN w:val="0"/>
        <w:adjustRightInd w:val="0"/>
        <w:spacing w:after="0" w:line="240" w:lineRule="auto"/>
        <w:jc w:val="right"/>
        <w:rPr>
          <w:rFonts w:cs="Arial"/>
          <w:i/>
          <w:sz w:val="20"/>
          <w:szCs w:val="20"/>
        </w:rPr>
      </w:pPr>
      <w:r w:rsidRPr="005A5C16">
        <w:rPr>
          <w:rFonts w:cs="Arial"/>
          <w:i/>
          <w:sz w:val="20"/>
          <w:szCs w:val="20"/>
        </w:rPr>
        <w:t>Letzte Aktualisierung: 11. September 2015</w:t>
      </w:r>
    </w:p>
    <w:p w:rsidR="00E2296F" w:rsidRDefault="00E2296F">
      <w:pPr>
        <w:rPr>
          <w:rFonts w:cs="Arial"/>
          <w:i/>
          <w:sz w:val="20"/>
          <w:szCs w:val="20"/>
        </w:rPr>
      </w:pPr>
    </w:p>
    <w:sectPr w:rsidR="00E2296F" w:rsidSect="00037D4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64A" w:rsidRDefault="00E5764A" w:rsidP="00140E38">
      <w:pPr>
        <w:spacing w:after="0" w:line="240" w:lineRule="auto"/>
      </w:pPr>
      <w:r>
        <w:separator/>
      </w:r>
    </w:p>
  </w:endnote>
  <w:endnote w:type="continuationSeparator" w:id="1">
    <w:p w:rsidR="00E5764A" w:rsidRDefault="00E5764A" w:rsidP="00140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64A" w:rsidRDefault="00E5764A" w:rsidP="00140E38">
      <w:pPr>
        <w:spacing w:after="0" w:line="240" w:lineRule="auto"/>
      </w:pPr>
      <w:r>
        <w:separator/>
      </w:r>
    </w:p>
  </w:footnote>
  <w:footnote w:type="continuationSeparator" w:id="1">
    <w:p w:rsidR="00E5764A" w:rsidRDefault="00E5764A" w:rsidP="00140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1440" w:hanging="360"/>
      </w:pPr>
      <w:rPr>
        <w:rFonts w:ascii="Arial" w:hAnsi="Arial" w:cs="Times New Roman" w:hint="default"/>
        <w:b/>
        <w:sz w:val="20"/>
        <w:szCs w:val="20"/>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
    <w:nsid w:val="00000004"/>
    <w:multiLevelType w:val="multilevel"/>
    <w:tmpl w:val="9BFE06D8"/>
    <w:name w:val="WW8Num3"/>
    <w:lvl w:ilvl="0">
      <w:start w:val="1"/>
      <w:numFmt w:val="decimal"/>
      <w:lvlText w:val="%1."/>
      <w:lvlJc w:val="left"/>
      <w:pPr>
        <w:tabs>
          <w:tab w:val="num" w:pos="720"/>
        </w:tabs>
        <w:ind w:left="720" w:hanging="360"/>
      </w:pPr>
      <w:rPr>
        <w:rFonts w:ascii="Comic Sans MS" w:eastAsia="Courier New" w:hAnsi="Comic Sans MS" w:cs="Arial" w:hint="default"/>
        <w:b w:val="0"/>
        <w:bCs/>
        <w:sz w:val="28"/>
        <w:szCs w:val="28"/>
        <w:u w:val="single"/>
      </w:rPr>
    </w:lvl>
    <w:lvl w:ilvl="1">
      <w:start w:val="1"/>
      <w:numFmt w:val="decimal"/>
      <w:lvlText w:val="%2."/>
      <w:lvlJc w:val="left"/>
      <w:pPr>
        <w:tabs>
          <w:tab w:val="num" w:pos="1080"/>
        </w:tabs>
        <w:ind w:left="1080" w:hanging="360"/>
      </w:pPr>
      <w:rPr>
        <w:rFonts w:ascii="Arial" w:eastAsia="Courier New" w:hAnsi="Arial" w:cs="Courier New"/>
        <w:b/>
        <w:bCs/>
        <w:sz w:val="26"/>
        <w:szCs w:val="24"/>
        <w:u w:val="singl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A1BD9"/>
    <w:multiLevelType w:val="hybridMultilevel"/>
    <w:tmpl w:val="258CF0B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822FE6"/>
    <w:multiLevelType w:val="hybridMultilevel"/>
    <w:tmpl w:val="E7123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E16BB6"/>
    <w:multiLevelType w:val="hybridMultilevel"/>
    <w:tmpl w:val="D9A4EEC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70B34E5"/>
    <w:multiLevelType w:val="hybridMultilevel"/>
    <w:tmpl w:val="D4520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BB44AC"/>
    <w:multiLevelType w:val="hybridMultilevel"/>
    <w:tmpl w:val="DD189F08"/>
    <w:lvl w:ilvl="0" w:tplc="04070013">
      <w:start w:val="1"/>
      <w:numFmt w:val="upperRoman"/>
      <w:lvlText w:val="%1."/>
      <w:lvlJc w:val="right"/>
      <w:pPr>
        <w:ind w:left="1440" w:hanging="360"/>
      </w:pPr>
    </w:lvl>
    <w:lvl w:ilvl="1" w:tplc="8C668C8C">
      <w:numFmt w:val="bullet"/>
      <w:lvlText w:val="·"/>
      <w:lvlJc w:val="left"/>
      <w:pPr>
        <w:ind w:left="2472" w:hanging="672"/>
      </w:pPr>
      <w:rPr>
        <w:rFonts w:ascii="Times New Roman" w:eastAsiaTheme="minorHAnsi" w:hAnsi="Times New Roman" w:cs="Times New Roman"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3626136E"/>
    <w:multiLevelType w:val="hybridMultilevel"/>
    <w:tmpl w:val="545CC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4F4028"/>
    <w:multiLevelType w:val="hybridMultilevel"/>
    <w:tmpl w:val="14D46F96"/>
    <w:lvl w:ilvl="0" w:tplc="04070013">
      <w:start w:val="1"/>
      <w:numFmt w:val="upperRoman"/>
      <w:lvlText w:val="%1."/>
      <w:lvlJc w:val="right"/>
      <w:pPr>
        <w:ind w:left="1260" w:hanging="360"/>
      </w:p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10">
    <w:nsid w:val="41232790"/>
    <w:multiLevelType w:val="hybridMultilevel"/>
    <w:tmpl w:val="4A8892B0"/>
    <w:lvl w:ilvl="0" w:tplc="04070013">
      <w:start w:val="1"/>
      <w:numFmt w:val="upp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42B30308"/>
    <w:multiLevelType w:val="hybridMultilevel"/>
    <w:tmpl w:val="0AC0B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C25F46"/>
    <w:multiLevelType w:val="hybridMultilevel"/>
    <w:tmpl w:val="A42836B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E98698C"/>
    <w:multiLevelType w:val="hybridMultilevel"/>
    <w:tmpl w:val="44526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4310755"/>
    <w:multiLevelType w:val="hybridMultilevel"/>
    <w:tmpl w:val="096CD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52904B1"/>
    <w:multiLevelType w:val="hybridMultilevel"/>
    <w:tmpl w:val="6CA69A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A636F93"/>
    <w:multiLevelType w:val="hybridMultilevel"/>
    <w:tmpl w:val="11FA0FE2"/>
    <w:lvl w:ilvl="0" w:tplc="04070001">
      <w:start w:val="1"/>
      <w:numFmt w:val="bullet"/>
      <w:lvlText w:val=""/>
      <w:lvlJc w:val="left"/>
      <w:pPr>
        <w:ind w:left="1260" w:hanging="360"/>
      </w:pPr>
      <w:rPr>
        <w:rFonts w:ascii="Symbol" w:hAnsi="Symbol" w:hint="default"/>
      </w:rPr>
    </w:lvl>
    <w:lvl w:ilvl="1" w:tplc="04070001">
      <w:start w:val="1"/>
      <w:numFmt w:val="bullet"/>
      <w:lvlText w:val=""/>
      <w:lvlJc w:val="left"/>
      <w:pPr>
        <w:ind w:left="1980" w:hanging="360"/>
      </w:pPr>
      <w:rPr>
        <w:rFonts w:ascii="Symbol" w:hAnsi="Symbol"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7">
    <w:nsid w:val="7F2744F2"/>
    <w:multiLevelType w:val="hybridMultilevel"/>
    <w:tmpl w:val="742068A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num w:numId="1">
    <w:abstractNumId w:val="8"/>
  </w:num>
  <w:num w:numId="2">
    <w:abstractNumId w:val="6"/>
  </w:num>
  <w:num w:numId="3">
    <w:abstractNumId w:val="4"/>
  </w:num>
  <w:num w:numId="4">
    <w:abstractNumId w:val="13"/>
  </w:num>
  <w:num w:numId="5">
    <w:abstractNumId w:val="17"/>
  </w:num>
  <w:num w:numId="6">
    <w:abstractNumId w:val="5"/>
  </w:num>
  <w:num w:numId="7">
    <w:abstractNumId w:val="3"/>
  </w:num>
  <w:num w:numId="8">
    <w:abstractNumId w:val="7"/>
  </w:num>
  <w:num w:numId="9">
    <w:abstractNumId w:val="12"/>
  </w:num>
  <w:num w:numId="10">
    <w:abstractNumId w:val="10"/>
  </w:num>
  <w:num w:numId="11">
    <w:abstractNumId w:val="9"/>
  </w:num>
  <w:num w:numId="12">
    <w:abstractNumId w:val="16"/>
  </w:num>
  <w:num w:numId="13">
    <w:abstractNumId w:val="14"/>
  </w:num>
  <w:num w:numId="14">
    <w:abstractNumId w:val="11"/>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A412A6"/>
    <w:rsid w:val="00037D4F"/>
    <w:rsid w:val="00062226"/>
    <w:rsid w:val="000667F8"/>
    <w:rsid w:val="00090659"/>
    <w:rsid w:val="000A08FA"/>
    <w:rsid w:val="000A1AB2"/>
    <w:rsid w:val="00112CC9"/>
    <w:rsid w:val="0012688F"/>
    <w:rsid w:val="00140E38"/>
    <w:rsid w:val="001512A7"/>
    <w:rsid w:val="001F051A"/>
    <w:rsid w:val="002D0511"/>
    <w:rsid w:val="003352EB"/>
    <w:rsid w:val="003623C9"/>
    <w:rsid w:val="00382B72"/>
    <w:rsid w:val="003A62F4"/>
    <w:rsid w:val="004A7ED8"/>
    <w:rsid w:val="004C2427"/>
    <w:rsid w:val="005260BD"/>
    <w:rsid w:val="00533F6B"/>
    <w:rsid w:val="005A5C16"/>
    <w:rsid w:val="005C6EB5"/>
    <w:rsid w:val="006235EF"/>
    <w:rsid w:val="0067773D"/>
    <w:rsid w:val="00824F39"/>
    <w:rsid w:val="008326D5"/>
    <w:rsid w:val="00834618"/>
    <w:rsid w:val="00843B9F"/>
    <w:rsid w:val="00886720"/>
    <w:rsid w:val="008B5492"/>
    <w:rsid w:val="008E3A70"/>
    <w:rsid w:val="00915294"/>
    <w:rsid w:val="00954DBB"/>
    <w:rsid w:val="009B20B7"/>
    <w:rsid w:val="00A3321C"/>
    <w:rsid w:val="00A412A6"/>
    <w:rsid w:val="00AB09CD"/>
    <w:rsid w:val="00AB2B17"/>
    <w:rsid w:val="00AD2185"/>
    <w:rsid w:val="00AD4107"/>
    <w:rsid w:val="00AE172C"/>
    <w:rsid w:val="00B43C70"/>
    <w:rsid w:val="00BC21CE"/>
    <w:rsid w:val="00C26A2C"/>
    <w:rsid w:val="00C35FAD"/>
    <w:rsid w:val="00CD373F"/>
    <w:rsid w:val="00DC6EB2"/>
    <w:rsid w:val="00E2296F"/>
    <w:rsid w:val="00E55B78"/>
    <w:rsid w:val="00E5764A"/>
    <w:rsid w:val="00EE66ED"/>
    <w:rsid w:val="00F01B23"/>
    <w:rsid w:val="00FC0F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D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12A6"/>
    <w:pPr>
      <w:ind w:left="720"/>
      <w:contextualSpacing/>
    </w:pPr>
  </w:style>
  <w:style w:type="character" w:customStyle="1" w:styleId="SC253967">
    <w:name w:val="SC253967"/>
    <w:uiPriority w:val="99"/>
    <w:rsid w:val="00B43C70"/>
    <w:rPr>
      <w:color w:val="000000"/>
      <w:sz w:val="15"/>
      <w:szCs w:val="15"/>
    </w:rPr>
  </w:style>
  <w:style w:type="paragraph" w:styleId="Funotentext">
    <w:name w:val="footnote text"/>
    <w:basedOn w:val="Standard"/>
    <w:link w:val="FunotentextZchn"/>
    <w:uiPriority w:val="99"/>
    <w:semiHidden/>
    <w:unhideWhenUsed/>
    <w:rsid w:val="00140E3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0E38"/>
    <w:rPr>
      <w:sz w:val="20"/>
      <w:szCs w:val="20"/>
    </w:rPr>
  </w:style>
  <w:style w:type="character" w:styleId="Funotenzeichen">
    <w:name w:val="footnote reference"/>
    <w:basedOn w:val="Absatz-Standardschriftart"/>
    <w:uiPriority w:val="99"/>
    <w:semiHidden/>
    <w:unhideWhenUsed/>
    <w:rsid w:val="00140E38"/>
    <w:rPr>
      <w:vertAlign w:val="superscript"/>
    </w:rPr>
  </w:style>
  <w:style w:type="paragraph" w:customStyle="1" w:styleId="Default">
    <w:name w:val="Default"/>
    <w:rsid w:val="00140E38"/>
    <w:pPr>
      <w:autoSpaceDE w:val="0"/>
      <w:autoSpaceDN w:val="0"/>
      <w:adjustRightInd w:val="0"/>
      <w:spacing w:after="0" w:line="240" w:lineRule="auto"/>
    </w:pPr>
    <w:rPr>
      <w:rFonts w:ascii="Arial" w:hAnsi="Arial" w:cs="Arial"/>
      <w:color w:val="000000"/>
      <w:sz w:val="24"/>
      <w:szCs w:val="24"/>
    </w:rPr>
  </w:style>
  <w:style w:type="character" w:customStyle="1" w:styleId="SC253975">
    <w:name w:val="SC253975"/>
    <w:uiPriority w:val="99"/>
    <w:rsid w:val="00140E38"/>
    <w:rPr>
      <w:color w:val="000000"/>
      <w:sz w:val="15"/>
      <w:szCs w:val="15"/>
    </w:rPr>
  </w:style>
  <w:style w:type="table" w:styleId="Tabellengitternetz">
    <w:name w:val="Table Grid"/>
    <w:basedOn w:val="NormaleTabelle"/>
    <w:uiPriority w:val="59"/>
    <w:rsid w:val="00F01B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lenInhalt">
    <w:name w:val="Tabellen Inhalt"/>
    <w:basedOn w:val="Standard"/>
    <w:rsid w:val="00AB09CD"/>
    <w:pPr>
      <w:widowControl w:val="0"/>
      <w:suppressLineNumbers/>
      <w:suppressAutoHyphens/>
      <w:spacing w:after="0" w:line="240" w:lineRule="auto"/>
    </w:pPr>
    <w:rPr>
      <w:rFonts w:ascii="Arial" w:eastAsia="SimSun" w:hAnsi="Arial" w:cs="Mangal"/>
      <w:kern w:val="2"/>
      <w:sz w:val="24"/>
      <w:szCs w:val="24"/>
      <w:lang w:eastAsia="zh-CN" w:bidi="hi-IN"/>
    </w:rPr>
  </w:style>
  <w:style w:type="paragraph" w:customStyle="1" w:styleId="Tabellenberschrift">
    <w:name w:val="Tabellen Überschrift"/>
    <w:basedOn w:val="TabellenInhalt"/>
    <w:rsid w:val="00AB09CD"/>
    <w:pPr>
      <w:jc w:val="center"/>
    </w:pPr>
    <w:rPr>
      <w:b/>
      <w:bCs/>
    </w:rPr>
  </w:style>
  <w:style w:type="paragraph" w:customStyle="1" w:styleId="Listenabsatz1">
    <w:name w:val="Listenabsatz1"/>
    <w:basedOn w:val="Standard"/>
    <w:rsid w:val="00AB09CD"/>
    <w:pPr>
      <w:widowControl w:val="0"/>
      <w:suppressAutoHyphens/>
      <w:spacing w:after="0" w:line="240" w:lineRule="auto"/>
      <w:ind w:left="720"/>
    </w:pPr>
    <w:rPr>
      <w:rFonts w:ascii="Arial" w:eastAsia="SimSun" w:hAnsi="Arial" w:cs="Mangal"/>
      <w:kern w:val="2"/>
      <w:sz w:val="24"/>
      <w:szCs w:val="24"/>
      <w:lang w:eastAsia="zh-CN" w:bidi="hi-IN"/>
    </w:rPr>
  </w:style>
  <w:style w:type="character" w:styleId="Kommentarzeichen">
    <w:name w:val="annotation reference"/>
    <w:basedOn w:val="Absatz-Standardschriftart"/>
    <w:uiPriority w:val="99"/>
    <w:semiHidden/>
    <w:unhideWhenUsed/>
    <w:rsid w:val="00AB09CD"/>
    <w:rPr>
      <w:sz w:val="16"/>
      <w:szCs w:val="16"/>
    </w:rPr>
  </w:style>
  <w:style w:type="paragraph" w:styleId="Sprechblasentext">
    <w:name w:val="Balloon Text"/>
    <w:basedOn w:val="Standard"/>
    <w:link w:val="SprechblasentextZchn"/>
    <w:uiPriority w:val="99"/>
    <w:semiHidden/>
    <w:unhideWhenUsed/>
    <w:rsid w:val="00AB09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9CD"/>
    <w:rPr>
      <w:rFonts w:ascii="Tahoma" w:hAnsi="Tahoma" w:cs="Tahoma"/>
      <w:sz w:val="16"/>
      <w:szCs w:val="16"/>
    </w:rPr>
  </w:style>
  <w:style w:type="character" w:styleId="Platzhaltertext">
    <w:name w:val="Placeholder Text"/>
    <w:basedOn w:val="Absatz-Standardschriftart"/>
    <w:uiPriority w:val="99"/>
    <w:semiHidden/>
    <w:rsid w:val="00112CC9"/>
    <w:rPr>
      <w:color w:val="808080"/>
    </w:rPr>
  </w:style>
</w:styles>
</file>

<file path=word/webSettings.xml><?xml version="1.0" encoding="utf-8"?>
<w:webSettings xmlns:r="http://schemas.openxmlformats.org/officeDocument/2006/relationships" xmlns:w="http://schemas.openxmlformats.org/wordprocessingml/2006/main">
  <w:divs>
    <w:div w:id="137914861">
      <w:bodyDiv w:val="1"/>
      <w:marLeft w:val="0"/>
      <w:marRight w:val="0"/>
      <w:marTop w:val="0"/>
      <w:marBottom w:val="0"/>
      <w:divBdr>
        <w:top w:val="none" w:sz="0" w:space="0" w:color="auto"/>
        <w:left w:val="none" w:sz="0" w:space="0" w:color="auto"/>
        <w:bottom w:val="none" w:sz="0" w:space="0" w:color="auto"/>
        <w:right w:val="none" w:sz="0" w:space="0" w:color="auto"/>
      </w:divBdr>
    </w:div>
    <w:div w:id="271328020">
      <w:bodyDiv w:val="1"/>
      <w:marLeft w:val="0"/>
      <w:marRight w:val="0"/>
      <w:marTop w:val="0"/>
      <w:marBottom w:val="0"/>
      <w:divBdr>
        <w:top w:val="none" w:sz="0" w:space="0" w:color="auto"/>
        <w:left w:val="none" w:sz="0" w:space="0" w:color="auto"/>
        <w:bottom w:val="none" w:sz="0" w:space="0" w:color="auto"/>
        <w:right w:val="none" w:sz="0" w:space="0" w:color="auto"/>
      </w:divBdr>
    </w:div>
    <w:div w:id="393898698">
      <w:bodyDiv w:val="1"/>
      <w:marLeft w:val="0"/>
      <w:marRight w:val="0"/>
      <w:marTop w:val="0"/>
      <w:marBottom w:val="0"/>
      <w:divBdr>
        <w:top w:val="none" w:sz="0" w:space="0" w:color="auto"/>
        <w:left w:val="none" w:sz="0" w:space="0" w:color="auto"/>
        <w:bottom w:val="none" w:sz="0" w:space="0" w:color="auto"/>
        <w:right w:val="none" w:sz="0" w:space="0" w:color="auto"/>
      </w:divBdr>
    </w:div>
    <w:div w:id="1020165543">
      <w:bodyDiv w:val="1"/>
      <w:marLeft w:val="0"/>
      <w:marRight w:val="0"/>
      <w:marTop w:val="0"/>
      <w:marBottom w:val="0"/>
      <w:divBdr>
        <w:top w:val="none" w:sz="0" w:space="0" w:color="auto"/>
        <w:left w:val="none" w:sz="0" w:space="0" w:color="auto"/>
        <w:bottom w:val="none" w:sz="0" w:space="0" w:color="auto"/>
        <w:right w:val="none" w:sz="0" w:space="0" w:color="auto"/>
      </w:divBdr>
    </w:div>
    <w:div w:id="1030034735">
      <w:bodyDiv w:val="1"/>
      <w:marLeft w:val="0"/>
      <w:marRight w:val="0"/>
      <w:marTop w:val="0"/>
      <w:marBottom w:val="0"/>
      <w:divBdr>
        <w:top w:val="none" w:sz="0" w:space="0" w:color="auto"/>
        <w:left w:val="none" w:sz="0" w:space="0" w:color="auto"/>
        <w:bottom w:val="none" w:sz="0" w:space="0" w:color="auto"/>
        <w:right w:val="none" w:sz="0" w:space="0" w:color="auto"/>
      </w:divBdr>
    </w:div>
    <w:div w:id="1149053234">
      <w:bodyDiv w:val="1"/>
      <w:marLeft w:val="0"/>
      <w:marRight w:val="0"/>
      <w:marTop w:val="0"/>
      <w:marBottom w:val="0"/>
      <w:divBdr>
        <w:top w:val="none" w:sz="0" w:space="0" w:color="auto"/>
        <w:left w:val="none" w:sz="0" w:space="0" w:color="auto"/>
        <w:bottom w:val="none" w:sz="0" w:space="0" w:color="auto"/>
        <w:right w:val="none" w:sz="0" w:space="0" w:color="auto"/>
      </w:divBdr>
    </w:div>
    <w:div w:id="1223327549">
      <w:bodyDiv w:val="1"/>
      <w:marLeft w:val="0"/>
      <w:marRight w:val="0"/>
      <w:marTop w:val="0"/>
      <w:marBottom w:val="0"/>
      <w:divBdr>
        <w:top w:val="none" w:sz="0" w:space="0" w:color="auto"/>
        <w:left w:val="none" w:sz="0" w:space="0" w:color="auto"/>
        <w:bottom w:val="none" w:sz="0" w:space="0" w:color="auto"/>
        <w:right w:val="none" w:sz="0" w:space="0" w:color="auto"/>
      </w:divBdr>
    </w:div>
    <w:div w:id="1698386900">
      <w:bodyDiv w:val="1"/>
      <w:marLeft w:val="0"/>
      <w:marRight w:val="0"/>
      <w:marTop w:val="0"/>
      <w:marBottom w:val="0"/>
      <w:divBdr>
        <w:top w:val="none" w:sz="0" w:space="0" w:color="auto"/>
        <w:left w:val="none" w:sz="0" w:space="0" w:color="auto"/>
        <w:bottom w:val="none" w:sz="0" w:space="0" w:color="auto"/>
        <w:right w:val="none" w:sz="0" w:space="0" w:color="auto"/>
      </w:divBdr>
    </w:div>
    <w:div w:id="1902985427">
      <w:bodyDiv w:val="1"/>
      <w:marLeft w:val="0"/>
      <w:marRight w:val="0"/>
      <w:marTop w:val="0"/>
      <w:marBottom w:val="0"/>
      <w:divBdr>
        <w:top w:val="none" w:sz="0" w:space="0" w:color="auto"/>
        <w:left w:val="none" w:sz="0" w:space="0" w:color="auto"/>
        <w:bottom w:val="none" w:sz="0" w:space="0" w:color="auto"/>
        <w:right w:val="none" w:sz="0" w:space="0" w:color="auto"/>
      </w:divBdr>
    </w:div>
    <w:div w:id="20844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7C36-2666-4F3E-B8E2-A828E5EF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5933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Ultrabook</dc:creator>
  <cp:keywords/>
  <dc:description/>
  <cp:lastModifiedBy>Asus Ultrabook</cp:lastModifiedBy>
  <cp:revision>11</cp:revision>
  <cp:lastPrinted>2015-09-10T20:22:00Z</cp:lastPrinted>
  <dcterms:created xsi:type="dcterms:W3CDTF">2015-09-10T17:42:00Z</dcterms:created>
  <dcterms:modified xsi:type="dcterms:W3CDTF">2015-09-30T16:59:00Z</dcterms:modified>
</cp:coreProperties>
</file>